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D7D9"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76AB"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31890648"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r>
      <w:r w:rsidR="00246D0D" w:rsidRPr="007D6B87">
        <w:rPr>
          <w:rFonts w:ascii="Arial" w:hAnsi="Arial"/>
          <w:sz w:val="22"/>
          <w:szCs w:val="22"/>
          <w:u w:val="single"/>
        </w:rPr>
        <w:t>Legal Aid Foundation of Los Angeles</w:t>
      </w:r>
      <w:r w:rsidRPr="007D6B87">
        <w:rPr>
          <w:rFonts w:ascii="Arial" w:hAnsi="Arial"/>
          <w:sz w:val="22"/>
          <w:szCs w:val="22"/>
          <w:u w:val="single"/>
        </w:rPr>
        <w:t>____________________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74461FF8"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r>
      <w:r w:rsidR="00C26263">
        <w:rPr>
          <w:rFonts w:ascii="Arial" w:hAnsi="Arial"/>
          <w:sz w:val="22"/>
          <w:szCs w:val="22"/>
        </w:rPr>
        <w:t xml:space="preserve"> </w:t>
      </w:r>
      <w:r w:rsidR="00690E40" w:rsidRPr="007D6B87">
        <w:rPr>
          <w:rFonts w:ascii="Arial" w:hAnsi="Arial"/>
          <w:sz w:val="22"/>
          <w:szCs w:val="22"/>
          <w:u w:val="single"/>
        </w:rPr>
        <w:t>General Office</w:t>
      </w:r>
      <w:r w:rsidRPr="007D6B87">
        <w:rPr>
          <w:rFonts w:ascii="Arial" w:hAnsi="Arial"/>
          <w:sz w:val="22"/>
          <w:szCs w:val="22"/>
          <w:u w:val="single"/>
        </w:rPr>
        <w:t>______________________________________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557B9811" w:rsidR="001375C7" w:rsidRPr="00C74BB2" w:rsidRDefault="001375C7" w:rsidP="00D9076C">
            <w:pPr>
              <w:widowControl/>
              <w:autoSpaceDE/>
              <w:autoSpaceDN/>
              <w:adjustRightInd/>
              <w:jc w:val="center"/>
              <w:rPr>
                <w:rFonts w:ascii="Calibri" w:eastAsia="Times New Roman" w:hAnsi="Calibri"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01859FF8" w:rsidR="001375C7" w:rsidRPr="00C74BB2" w:rsidRDefault="00D04CA1" w:rsidP="00D9076C">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Pr="005C6484" w:rsidRDefault="00925583" w:rsidP="00925583">
      <w:pPr>
        <w:pStyle w:val="BodyText2"/>
        <w:rPr>
          <w:b/>
          <w:bCs/>
          <w:i w:val="0"/>
        </w:rPr>
      </w:pPr>
      <w:r w:rsidRPr="005C6484">
        <w:rPr>
          <w:b/>
          <w:bCs/>
          <w:i w:val="0"/>
        </w:rPr>
        <w:t>Provide a brief summary of your program accomplishments, challenges</w:t>
      </w:r>
      <w:r w:rsidR="00D856BF" w:rsidRPr="005C6484">
        <w:rPr>
          <w:b/>
          <w:bCs/>
          <w:i w:val="0"/>
        </w:rPr>
        <w:t>,</w:t>
      </w:r>
      <w:r w:rsidRPr="005C6484">
        <w:rPr>
          <w:b/>
          <w:bCs/>
          <w:i w:val="0"/>
        </w:rPr>
        <w:t xml:space="preserve"> and changes that occurre</w:t>
      </w:r>
      <w:r w:rsidR="005F4D91" w:rsidRPr="005C6484">
        <w:rPr>
          <w:b/>
          <w:bCs/>
          <w:i w:val="0"/>
        </w:rPr>
        <w:t xml:space="preserve">d during the reporting period. </w:t>
      </w:r>
      <w:r w:rsidRPr="005C6484">
        <w:rPr>
          <w:b/>
          <w:bCs/>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42665321" w14:textId="7CBD2437" w:rsidR="000E202B" w:rsidRDefault="00FC63AC" w:rsidP="00747B08">
      <w:pPr>
        <w:jc w:val="both"/>
        <w:rPr>
          <w:rFonts w:ascii="Arial" w:hAnsi="Arial"/>
          <w:sz w:val="21"/>
        </w:rPr>
      </w:pPr>
      <w:r>
        <w:rPr>
          <w:rFonts w:ascii="Arial" w:hAnsi="Arial"/>
          <w:sz w:val="21"/>
        </w:rPr>
        <w:t>At the end</w:t>
      </w:r>
      <w:r w:rsidR="0064472E">
        <w:rPr>
          <w:rFonts w:ascii="Arial" w:hAnsi="Arial"/>
          <w:sz w:val="21"/>
        </w:rPr>
        <w:t xml:space="preserve"> of th</w:t>
      </w:r>
      <w:r w:rsidR="004C4E89">
        <w:rPr>
          <w:rFonts w:ascii="Arial" w:hAnsi="Arial"/>
          <w:sz w:val="21"/>
        </w:rPr>
        <w:t xml:space="preserve">e reporting period, </w:t>
      </w:r>
      <w:r w:rsidR="008D129D">
        <w:rPr>
          <w:rFonts w:ascii="Arial" w:hAnsi="Arial"/>
          <w:sz w:val="21"/>
        </w:rPr>
        <w:t xml:space="preserve">we are pleased to report that </w:t>
      </w:r>
      <w:r w:rsidR="004C4E89">
        <w:rPr>
          <w:rFonts w:ascii="Arial" w:hAnsi="Arial"/>
          <w:sz w:val="21"/>
        </w:rPr>
        <w:t xml:space="preserve">LAFLA Santa Monica has </w:t>
      </w:r>
      <w:r w:rsidR="00CA3408">
        <w:rPr>
          <w:rFonts w:ascii="Arial" w:hAnsi="Arial"/>
          <w:sz w:val="21"/>
        </w:rPr>
        <w:t>been</w:t>
      </w:r>
      <w:r w:rsidR="006F5D27">
        <w:rPr>
          <w:rFonts w:ascii="Arial" w:hAnsi="Arial"/>
          <w:sz w:val="21"/>
        </w:rPr>
        <w:t xml:space="preserve"> very</w:t>
      </w:r>
      <w:r w:rsidR="00CA3408">
        <w:rPr>
          <w:rFonts w:ascii="Arial" w:hAnsi="Arial"/>
          <w:sz w:val="21"/>
        </w:rPr>
        <w:t xml:space="preserve"> busy</w:t>
      </w:r>
      <w:r w:rsidR="00934DC0">
        <w:rPr>
          <w:rFonts w:ascii="Arial" w:hAnsi="Arial"/>
          <w:sz w:val="21"/>
        </w:rPr>
        <w:t xml:space="preserve">, to the benefit of </w:t>
      </w:r>
      <w:r w:rsidR="004C4E89">
        <w:rPr>
          <w:rFonts w:ascii="Arial" w:hAnsi="Arial"/>
          <w:sz w:val="21"/>
        </w:rPr>
        <w:t xml:space="preserve">the City’s </w:t>
      </w:r>
      <w:r w:rsidR="00AE79FA">
        <w:rPr>
          <w:rFonts w:ascii="Arial" w:hAnsi="Arial"/>
          <w:sz w:val="21"/>
        </w:rPr>
        <w:t>low-income</w:t>
      </w:r>
      <w:r w:rsidR="004C4E89">
        <w:rPr>
          <w:rFonts w:ascii="Arial" w:hAnsi="Arial"/>
          <w:sz w:val="21"/>
        </w:rPr>
        <w:t xml:space="preserve"> residents</w:t>
      </w:r>
      <w:r w:rsidR="0088611F">
        <w:rPr>
          <w:rFonts w:ascii="Arial" w:hAnsi="Arial"/>
          <w:sz w:val="21"/>
        </w:rPr>
        <w:t>; p</w:t>
      </w:r>
      <w:r w:rsidR="00237EFA">
        <w:rPr>
          <w:rFonts w:ascii="Arial" w:hAnsi="Arial"/>
          <w:sz w:val="21"/>
        </w:rPr>
        <w:t xml:space="preserve">articularly to a number of returning residents who dealt with multiple </w:t>
      </w:r>
      <w:r w:rsidR="006A7E9B">
        <w:rPr>
          <w:rFonts w:ascii="Arial" w:hAnsi="Arial"/>
          <w:sz w:val="21"/>
        </w:rPr>
        <w:t xml:space="preserve">recurring </w:t>
      </w:r>
      <w:r w:rsidR="00237EFA">
        <w:rPr>
          <w:rFonts w:ascii="Arial" w:hAnsi="Arial"/>
          <w:sz w:val="21"/>
        </w:rPr>
        <w:t>actions</w:t>
      </w:r>
      <w:r w:rsidR="0088611F">
        <w:rPr>
          <w:rFonts w:ascii="Arial" w:hAnsi="Arial"/>
          <w:sz w:val="21"/>
        </w:rPr>
        <w:t xml:space="preserve"> against them.</w:t>
      </w:r>
      <w:r w:rsidR="00B3584C">
        <w:rPr>
          <w:rFonts w:ascii="Arial" w:hAnsi="Arial"/>
          <w:sz w:val="21"/>
        </w:rPr>
        <w:t xml:space="preserve"> </w:t>
      </w:r>
      <w:r w:rsidR="009E1434">
        <w:rPr>
          <w:rFonts w:ascii="Arial" w:hAnsi="Arial"/>
          <w:sz w:val="21"/>
        </w:rPr>
        <w:t xml:space="preserve">While housing cases </w:t>
      </w:r>
      <w:r w:rsidR="009661B0">
        <w:rPr>
          <w:rFonts w:ascii="Arial" w:hAnsi="Arial"/>
          <w:sz w:val="21"/>
        </w:rPr>
        <w:t xml:space="preserve">continue to comprise </w:t>
      </w:r>
      <w:r w:rsidR="00F53BA1">
        <w:rPr>
          <w:rFonts w:ascii="Arial" w:hAnsi="Arial"/>
          <w:sz w:val="21"/>
        </w:rPr>
        <w:t>the bulk of our work, during the reporting period</w:t>
      </w:r>
      <w:r w:rsidR="009661B0">
        <w:rPr>
          <w:rFonts w:ascii="Arial" w:hAnsi="Arial"/>
          <w:sz w:val="21"/>
        </w:rPr>
        <w:t>,</w:t>
      </w:r>
      <w:r w:rsidR="00F53BA1">
        <w:rPr>
          <w:rFonts w:ascii="Arial" w:hAnsi="Arial"/>
          <w:sz w:val="21"/>
        </w:rPr>
        <w:t xml:space="preserve"> we helped low-income residents </w:t>
      </w:r>
      <w:r w:rsidR="00925586">
        <w:rPr>
          <w:rFonts w:ascii="Arial" w:hAnsi="Arial"/>
          <w:sz w:val="21"/>
        </w:rPr>
        <w:t xml:space="preserve">with public benefits </w:t>
      </w:r>
      <w:r w:rsidR="009661B0">
        <w:rPr>
          <w:rFonts w:ascii="Arial" w:hAnsi="Arial"/>
          <w:sz w:val="21"/>
        </w:rPr>
        <w:t xml:space="preserve">issues </w:t>
      </w:r>
      <w:r w:rsidR="00925586">
        <w:rPr>
          <w:rFonts w:ascii="Arial" w:hAnsi="Arial"/>
          <w:sz w:val="21"/>
        </w:rPr>
        <w:t xml:space="preserve">such as </w:t>
      </w:r>
      <w:r w:rsidR="00F53BA1">
        <w:rPr>
          <w:rFonts w:ascii="Arial" w:hAnsi="Arial"/>
          <w:sz w:val="21"/>
        </w:rPr>
        <w:t>social security</w:t>
      </w:r>
      <w:r w:rsidR="00AF7B9C">
        <w:rPr>
          <w:rFonts w:ascii="Arial" w:hAnsi="Arial"/>
          <w:sz w:val="21"/>
        </w:rPr>
        <w:t xml:space="preserve">, </w:t>
      </w:r>
      <w:r w:rsidR="00F53BA1">
        <w:rPr>
          <w:rFonts w:ascii="Arial" w:hAnsi="Arial"/>
          <w:sz w:val="21"/>
        </w:rPr>
        <w:t>SSI</w:t>
      </w:r>
      <w:r w:rsidR="00AF7B9C">
        <w:rPr>
          <w:rFonts w:ascii="Arial" w:hAnsi="Arial"/>
          <w:sz w:val="21"/>
        </w:rPr>
        <w:t xml:space="preserve"> and SSDI</w:t>
      </w:r>
      <w:r w:rsidR="00F53BA1">
        <w:rPr>
          <w:rFonts w:ascii="Arial" w:hAnsi="Arial"/>
          <w:sz w:val="21"/>
        </w:rPr>
        <w:t xml:space="preserve">, </w:t>
      </w:r>
      <w:r w:rsidR="00925586">
        <w:rPr>
          <w:rFonts w:ascii="Arial" w:hAnsi="Arial"/>
          <w:sz w:val="21"/>
        </w:rPr>
        <w:t xml:space="preserve">general relief, </w:t>
      </w:r>
      <w:r w:rsidR="001A416F">
        <w:rPr>
          <w:rFonts w:ascii="Arial" w:hAnsi="Arial"/>
          <w:sz w:val="21"/>
        </w:rPr>
        <w:t xml:space="preserve">Medicare and Medi-Cal, </w:t>
      </w:r>
      <w:r w:rsidR="00925586">
        <w:rPr>
          <w:rFonts w:ascii="Arial" w:hAnsi="Arial"/>
          <w:sz w:val="21"/>
        </w:rPr>
        <w:t xml:space="preserve">and </w:t>
      </w:r>
      <w:r w:rsidR="00F05DC0">
        <w:rPr>
          <w:rFonts w:ascii="Arial" w:hAnsi="Arial"/>
          <w:sz w:val="21"/>
        </w:rPr>
        <w:t>access to food stamps</w:t>
      </w:r>
      <w:r w:rsidR="00925586">
        <w:rPr>
          <w:rFonts w:ascii="Arial" w:hAnsi="Arial"/>
          <w:sz w:val="21"/>
        </w:rPr>
        <w:t>.</w:t>
      </w:r>
      <w:r w:rsidR="00B3584C">
        <w:rPr>
          <w:rFonts w:ascii="Arial" w:hAnsi="Arial"/>
          <w:sz w:val="21"/>
        </w:rPr>
        <w:t xml:space="preserve"> </w:t>
      </w:r>
      <w:r w:rsidR="004E22E2">
        <w:rPr>
          <w:rFonts w:ascii="Arial" w:hAnsi="Arial"/>
          <w:sz w:val="21"/>
        </w:rPr>
        <w:t xml:space="preserve">We also helped </w:t>
      </w:r>
      <w:r w:rsidR="009661B0">
        <w:rPr>
          <w:rFonts w:ascii="Arial" w:hAnsi="Arial"/>
          <w:sz w:val="21"/>
        </w:rPr>
        <w:t xml:space="preserve">residents </w:t>
      </w:r>
      <w:r w:rsidR="004E22E2">
        <w:rPr>
          <w:rFonts w:ascii="Arial" w:hAnsi="Arial"/>
          <w:sz w:val="21"/>
        </w:rPr>
        <w:t xml:space="preserve">with employment discrimination, wage claims, </w:t>
      </w:r>
      <w:r w:rsidR="002F40A6">
        <w:rPr>
          <w:rFonts w:ascii="Arial" w:hAnsi="Arial"/>
          <w:sz w:val="21"/>
        </w:rPr>
        <w:t xml:space="preserve">and student loan debt </w:t>
      </w:r>
      <w:r w:rsidR="006E65C8">
        <w:rPr>
          <w:rFonts w:ascii="Arial" w:hAnsi="Arial"/>
          <w:sz w:val="21"/>
        </w:rPr>
        <w:t>cases.</w:t>
      </w:r>
    </w:p>
    <w:p w14:paraId="4B80E74C" w14:textId="77777777" w:rsidR="00EB4439" w:rsidRDefault="00EB4439" w:rsidP="00747B08">
      <w:pPr>
        <w:jc w:val="both"/>
        <w:rPr>
          <w:rFonts w:ascii="Arial" w:hAnsi="Arial"/>
          <w:sz w:val="21"/>
        </w:rPr>
      </w:pPr>
    </w:p>
    <w:p w14:paraId="0C6F3C7E" w14:textId="0C3813A0" w:rsidR="006B5100" w:rsidRDefault="00BC3E6D" w:rsidP="00747B08">
      <w:pPr>
        <w:jc w:val="both"/>
        <w:rPr>
          <w:rFonts w:ascii="Arial" w:hAnsi="Arial"/>
          <w:sz w:val="21"/>
        </w:rPr>
      </w:pPr>
      <w:r>
        <w:rPr>
          <w:rFonts w:ascii="Arial" w:hAnsi="Arial"/>
          <w:sz w:val="21"/>
        </w:rPr>
        <w:t>LAFLA has</w:t>
      </w:r>
      <w:r w:rsidR="00747B08" w:rsidRPr="009B6D5E">
        <w:rPr>
          <w:rFonts w:ascii="Arial" w:hAnsi="Arial"/>
          <w:sz w:val="21"/>
        </w:rPr>
        <w:t xml:space="preserve"> successfully shifted </w:t>
      </w:r>
      <w:r w:rsidR="00ED2343">
        <w:rPr>
          <w:rFonts w:ascii="Arial" w:hAnsi="Arial"/>
          <w:sz w:val="21"/>
        </w:rPr>
        <w:t xml:space="preserve">intake and </w:t>
      </w:r>
      <w:r w:rsidR="009661B0" w:rsidRPr="009B6D5E">
        <w:rPr>
          <w:rFonts w:ascii="Arial" w:hAnsi="Arial"/>
          <w:sz w:val="21"/>
        </w:rPr>
        <w:t xml:space="preserve">many of </w:t>
      </w:r>
      <w:r w:rsidR="009661B0">
        <w:rPr>
          <w:rFonts w:ascii="Arial" w:hAnsi="Arial"/>
          <w:sz w:val="21"/>
        </w:rPr>
        <w:t>its</w:t>
      </w:r>
      <w:r w:rsidR="009661B0" w:rsidRPr="009B6D5E">
        <w:rPr>
          <w:rFonts w:ascii="Arial" w:hAnsi="Arial"/>
          <w:sz w:val="21"/>
        </w:rPr>
        <w:t xml:space="preserve"> </w:t>
      </w:r>
      <w:r w:rsidR="00747B08" w:rsidRPr="009B6D5E">
        <w:rPr>
          <w:rFonts w:ascii="Arial" w:hAnsi="Arial"/>
          <w:sz w:val="21"/>
        </w:rPr>
        <w:t>services to telephone or online platforms in an effort to provide residents options and access when they need help.</w:t>
      </w:r>
      <w:r w:rsidR="00B3584C">
        <w:rPr>
          <w:rFonts w:ascii="Arial" w:hAnsi="Arial"/>
          <w:sz w:val="21"/>
        </w:rPr>
        <w:t xml:space="preserve"> </w:t>
      </w:r>
      <w:r w:rsidR="00747B08" w:rsidRPr="009B6D5E">
        <w:rPr>
          <w:rFonts w:ascii="Arial" w:hAnsi="Arial"/>
          <w:sz w:val="21"/>
        </w:rPr>
        <w:t xml:space="preserve">We have also continued to make court appearances </w:t>
      </w:r>
      <w:r w:rsidR="003B6A0D">
        <w:rPr>
          <w:rFonts w:ascii="Arial" w:hAnsi="Arial"/>
          <w:sz w:val="21"/>
        </w:rPr>
        <w:t xml:space="preserve">remotely and in person </w:t>
      </w:r>
      <w:r w:rsidR="00747B08" w:rsidRPr="009B6D5E">
        <w:rPr>
          <w:rFonts w:ascii="Arial" w:hAnsi="Arial"/>
          <w:sz w:val="21"/>
        </w:rPr>
        <w:t>when necessary.</w:t>
      </w:r>
      <w:r w:rsidR="00B3584C">
        <w:rPr>
          <w:rFonts w:ascii="Arial" w:hAnsi="Arial"/>
          <w:sz w:val="21"/>
        </w:rPr>
        <w:t xml:space="preserve"> </w:t>
      </w:r>
      <w:r w:rsidR="006563DF">
        <w:rPr>
          <w:rFonts w:ascii="Arial" w:hAnsi="Arial"/>
          <w:sz w:val="21"/>
        </w:rPr>
        <w:t xml:space="preserve">In March 2022, </w:t>
      </w:r>
      <w:r>
        <w:rPr>
          <w:rFonts w:ascii="Arial" w:hAnsi="Arial"/>
          <w:sz w:val="21"/>
        </w:rPr>
        <w:t xml:space="preserve">in the second half of the reporting period, </w:t>
      </w:r>
      <w:r w:rsidR="006563DF">
        <w:rPr>
          <w:rFonts w:ascii="Arial" w:hAnsi="Arial"/>
          <w:sz w:val="21"/>
        </w:rPr>
        <w:t xml:space="preserve">we returned to full time office hours five days a week. </w:t>
      </w:r>
      <w:r w:rsidR="00C3176B">
        <w:rPr>
          <w:rFonts w:ascii="Arial" w:hAnsi="Arial"/>
          <w:sz w:val="21"/>
        </w:rPr>
        <w:t xml:space="preserve">Increased access and open doors </w:t>
      </w:r>
      <w:r w:rsidR="00E54A03">
        <w:rPr>
          <w:rFonts w:ascii="Arial" w:hAnsi="Arial"/>
          <w:sz w:val="21"/>
        </w:rPr>
        <w:t>make it easier for those residents unable to contact us by phone, without access to the internet</w:t>
      </w:r>
      <w:r w:rsidR="00277249">
        <w:rPr>
          <w:rFonts w:ascii="Arial" w:hAnsi="Arial"/>
          <w:sz w:val="21"/>
        </w:rPr>
        <w:t xml:space="preserve">, or in the most urgent need to see an attorney </w:t>
      </w:r>
      <w:r w:rsidR="009661B0">
        <w:rPr>
          <w:rFonts w:ascii="Arial" w:hAnsi="Arial"/>
          <w:sz w:val="21"/>
        </w:rPr>
        <w:t xml:space="preserve">the same </w:t>
      </w:r>
      <w:r w:rsidR="00277249">
        <w:rPr>
          <w:rFonts w:ascii="Arial" w:hAnsi="Arial"/>
          <w:sz w:val="21"/>
        </w:rPr>
        <w:t>day</w:t>
      </w:r>
      <w:r w:rsidR="00E54A03">
        <w:rPr>
          <w:rFonts w:ascii="Arial" w:hAnsi="Arial"/>
          <w:sz w:val="21"/>
        </w:rPr>
        <w:t>.</w:t>
      </w:r>
    </w:p>
    <w:p w14:paraId="4BEDEA52" w14:textId="77777777" w:rsidR="006B5100" w:rsidRDefault="006B5100" w:rsidP="00747B08">
      <w:pPr>
        <w:jc w:val="both"/>
        <w:rPr>
          <w:rFonts w:ascii="Arial" w:hAnsi="Arial"/>
          <w:sz w:val="21"/>
        </w:rPr>
      </w:pPr>
    </w:p>
    <w:p w14:paraId="37761B3C" w14:textId="6B05B9F3" w:rsidR="00747B08" w:rsidRDefault="00747B08" w:rsidP="00747B08">
      <w:pPr>
        <w:jc w:val="both"/>
        <w:rPr>
          <w:rFonts w:ascii="Arial" w:hAnsi="Arial"/>
          <w:sz w:val="21"/>
        </w:rPr>
      </w:pPr>
      <w:r w:rsidRPr="009B6D5E">
        <w:rPr>
          <w:rFonts w:ascii="Arial" w:hAnsi="Arial"/>
          <w:sz w:val="21"/>
        </w:rPr>
        <w:t xml:space="preserve">These </w:t>
      </w:r>
      <w:r w:rsidR="000C6002">
        <w:rPr>
          <w:rFonts w:ascii="Arial" w:hAnsi="Arial"/>
          <w:sz w:val="21"/>
        </w:rPr>
        <w:t xml:space="preserve">foundation-wide </w:t>
      </w:r>
      <w:r w:rsidRPr="009B6D5E">
        <w:rPr>
          <w:rFonts w:ascii="Arial" w:hAnsi="Arial"/>
          <w:sz w:val="21"/>
        </w:rPr>
        <w:t>efforts</w:t>
      </w:r>
      <w:r w:rsidR="000C6002">
        <w:rPr>
          <w:rFonts w:ascii="Arial" w:hAnsi="Arial"/>
          <w:sz w:val="21"/>
        </w:rPr>
        <w:t xml:space="preserve">, as well as the hard work of the </w:t>
      </w:r>
      <w:r w:rsidR="003D5ED9">
        <w:rPr>
          <w:rFonts w:ascii="Arial" w:hAnsi="Arial"/>
          <w:sz w:val="21"/>
        </w:rPr>
        <w:t xml:space="preserve">individual </w:t>
      </w:r>
      <w:r w:rsidR="003A16C4">
        <w:rPr>
          <w:rFonts w:ascii="Arial" w:hAnsi="Arial"/>
          <w:sz w:val="21"/>
        </w:rPr>
        <w:t>Santa Monica staff attorneys,</w:t>
      </w:r>
      <w:r w:rsidRPr="009B6D5E">
        <w:rPr>
          <w:rFonts w:ascii="Arial" w:hAnsi="Arial"/>
          <w:sz w:val="21"/>
        </w:rPr>
        <w:t xml:space="preserve"> are reflected in </w:t>
      </w:r>
      <w:r w:rsidR="000B40B7">
        <w:rPr>
          <w:rFonts w:ascii="Arial" w:hAnsi="Arial"/>
          <w:sz w:val="21"/>
        </w:rPr>
        <w:t>year-end</w:t>
      </w:r>
      <w:r w:rsidRPr="009B6D5E">
        <w:rPr>
          <w:rFonts w:ascii="Arial" w:hAnsi="Arial"/>
          <w:sz w:val="21"/>
        </w:rPr>
        <w:t xml:space="preserve"> numbers</w:t>
      </w:r>
      <w:r w:rsidR="001B49A1">
        <w:rPr>
          <w:rFonts w:ascii="Arial" w:hAnsi="Arial"/>
          <w:sz w:val="21"/>
        </w:rPr>
        <w:t>.</w:t>
      </w:r>
      <w:r w:rsidRPr="009B6D5E">
        <w:rPr>
          <w:rFonts w:ascii="Arial" w:hAnsi="Arial"/>
          <w:sz w:val="21"/>
        </w:rPr>
        <w:t xml:space="preserve"> </w:t>
      </w:r>
      <w:r w:rsidR="000B40B7">
        <w:rPr>
          <w:rFonts w:ascii="Arial" w:hAnsi="Arial"/>
          <w:sz w:val="21"/>
        </w:rPr>
        <w:t>T</w:t>
      </w:r>
      <w:r w:rsidR="008F1565">
        <w:rPr>
          <w:rFonts w:ascii="Arial" w:hAnsi="Arial"/>
          <w:sz w:val="21"/>
        </w:rPr>
        <w:t>he revised r</w:t>
      </w:r>
      <w:r w:rsidR="00C61448">
        <w:rPr>
          <w:rFonts w:ascii="Arial" w:hAnsi="Arial"/>
          <w:sz w:val="21"/>
        </w:rPr>
        <w:t xml:space="preserve">eporting </w:t>
      </w:r>
      <w:r w:rsidR="006B77D5">
        <w:rPr>
          <w:rFonts w:ascii="Arial" w:hAnsi="Arial"/>
          <w:sz w:val="21"/>
        </w:rPr>
        <w:t>structure that incorporates</w:t>
      </w:r>
      <w:r w:rsidR="00C61448">
        <w:rPr>
          <w:rFonts w:ascii="Arial" w:hAnsi="Arial"/>
          <w:sz w:val="21"/>
        </w:rPr>
        <w:t xml:space="preserve"> both active and closed cases</w:t>
      </w:r>
      <w:r w:rsidR="006B77D5">
        <w:rPr>
          <w:rFonts w:ascii="Arial" w:hAnsi="Arial"/>
          <w:sz w:val="21"/>
        </w:rPr>
        <w:t xml:space="preserve">, in addition to </w:t>
      </w:r>
      <w:r w:rsidR="00505D2D">
        <w:rPr>
          <w:rFonts w:ascii="Arial" w:hAnsi="Arial"/>
          <w:sz w:val="21"/>
        </w:rPr>
        <w:t xml:space="preserve">reporting on </w:t>
      </w:r>
      <w:r w:rsidR="006B77D5">
        <w:rPr>
          <w:rFonts w:ascii="Arial" w:hAnsi="Arial"/>
          <w:sz w:val="21"/>
        </w:rPr>
        <w:t>unduplicated program participants,</w:t>
      </w:r>
      <w:r w:rsidR="00C61448">
        <w:rPr>
          <w:rFonts w:ascii="Arial" w:hAnsi="Arial"/>
          <w:sz w:val="21"/>
        </w:rPr>
        <w:t xml:space="preserve"> gives a</w:t>
      </w:r>
      <w:r w:rsidR="000B40B7">
        <w:rPr>
          <w:rFonts w:ascii="Arial" w:hAnsi="Arial"/>
          <w:sz w:val="21"/>
        </w:rPr>
        <w:t xml:space="preserve"> far more</w:t>
      </w:r>
      <w:r w:rsidR="00C61448">
        <w:rPr>
          <w:rFonts w:ascii="Arial" w:hAnsi="Arial"/>
          <w:sz w:val="21"/>
        </w:rPr>
        <w:t xml:space="preserve"> accurate picture of </w:t>
      </w:r>
      <w:r w:rsidR="007262B5">
        <w:rPr>
          <w:rFonts w:ascii="Arial" w:hAnsi="Arial"/>
          <w:sz w:val="21"/>
        </w:rPr>
        <w:t xml:space="preserve">the </w:t>
      </w:r>
      <w:r w:rsidR="00C61448">
        <w:rPr>
          <w:rFonts w:ascii="Arial" w:hAnsi="Arial"/>
          <w:sz w:val="21"/>
        </w:rPr>
        <w:t xml:space="preserve">work both completed and </w:t>
      </w:r>
      <w:r w:rsidR="00505D2D">
        <w:rPr>
          <w:rFonts w:ascii="Arial" w:hAnsi="Arial"/>
          <w:sz w:val="21"/>
        </w:rPr>
        <w:t xml:space="preserve">still </w:t>
      </w:r>
      <w:r w:rsidR="00C61448">
        <w:rPr>
          <w:rFonts w:ascii="Arial" w:hAnsi="Arial"/>
          <w:sz w:val="21"/>
        </w:rPr>
        <w:t>ongoing during the reporting period.</w:t>
      </w:r>
      <w:r w:rsidR="00B3584C">
        <w:rPr>
          <w:rFonts w:ascii="Arial" w:hAnsi="Arial"/>
          <w:sz w:val="21"/>
        </w:rPr>
        <w:t xml:space="preserve"> </w:t>
      </w:r>
      <w:r w:rsidR="007262B5">
        <w:rPr>
          <w:rFonts w:ascii="Arial" w:hAnsi="Arial"/>
          <w:sz w:val="21"/>
        </w:rPr>
        <w:t>Notabl</w:t>
      </w:r>
      <w:r w:rsidR="008B09E1">
        <w:rPr>
          <w:rFonts w:ascii="Arial" w:hAnsi="Arial"/>
          <w:sz w:val="21"/>
        </w:rPr>
        <w:t>y</w:t>
      </w:r>
      <w:r w:rsidR="007262B5">
        <w:rPr>
          <w:rFonts w:ascii="Arial" w:hAnsi="Arial"/>
          <w:sz w:val="21"/>
        </w:rPr>
        <w:t>, while the closed case rate remained steady into the second half of the period, the number of unduplicated participants dropped significantly.</w:t>
      </w:r>
      <w:r w:rsidR="00B3584C">
        <w:rPr>
          <w:rFonts w:ascii="Arial" w:hAnsi="Arial"/>
          <w:sz w:val="21"/>
        </w:rPr>
        <w:t xml:space="preserve"> </w:t>
      </w:r>
      <w:r w:rsidR="00C83C2C">
        <w:rPr>
          <w:rFonts w:ascii="Arial" w:hAnsi="Arial"/>
          <w:sz w:val="21"/>
        </w:rPr>
        <w:t xml:space="preserve">The revised reporting structure allows us to identify and highlight this statistical </w:t>
      </w:r>
      <w:r w:rsidR="000376DC">
        <w:rPr>
          <w:rFonts w:ascii="Arial" w:hAnsi="Arial"/>
          <w:sz w:val="21"/>
        </w:rPr>
        <w:t>trend</w:t>
      </w:r>
      <w:r w:rsidR="009661B0">
        <w:rPr>
          <w:rFonts w:ascii="Arial" w:hAnsi="Arial"/>
          <w:sz w:val="21"/>
        </w:rPr>
        <w:t>,</w:t>
      </w:r>
      <w:r w:rsidR="000376DC">
        <w:rPr>
          <w:rFonts w:ascii="Arial" w:hAnsi="Arial"/>
          <w:sz w:val="21"/>
        </w:rPr>
        <w:t xml:space="preserve"> which indicates that </w:t>
      </w:r>
      <w:r w:rsidR="00BD00CA">
        <w:rPr>
          <w:rFonts w:ascii="Arial" w:hAnsi="Arial"/>
          <w:sz w:val="21"/>
        </w:rPr>
        <w:t xml:space="preserve">while </w:t>
      </w:r>
      <w:r w:rsidR="000376DC">
        <w:rPr>
          <w:rFonts w:ascii="Arial" w:hAnsi="Arial"/>
          <w:sz w:val="21"/>
        </w:rPr>
        <w:t>work</w:t>
      </w:r>
      <w:r w:rsidR="00BD00CA">
        <w:rPr>
          <w:rFonts w:ascii="Arial" w:hAnsi="Arial"/>
          <w:sz w:val="21"/>
        </w:rPr>
        <w:t>loads</w:t>
      </w:r>
      <w:r w:rsidR="000376DC">
        <w:rPr>
          <w:rFonts w:ascii="Arial" w:hAnsi="Arial"/>
          <w:sz w:val="21"/>
        </w:rPr>
        <w:t xml:space="preserve"> remained steady</w:t>
      </w:r>
      <w:r w:rsidR="00BD00CA">
        <w:rPr>
          <w:rFonts w:ascii="Arial" w:hAnsi="Arial"/>
          <w:sz w:val="21"/>
        </w:rPr>
        <w:t xml:space="preserve">, </w:t>
      </w:r>
      <w:r w:rsidR="000376DC">
        <w:rPr>
          <w:rFonts w:ascii="Arial" w:hAnsi="Arial"/>
          <w:sz w:val="21"/>
        </w:rPr>
        <w:t xml:space="preserve">our past clients with the most aggressive </w:t>
      </w:r>
      <w:r w:rsidR="00BD00CA">
        <w:rPr>
          <w:rFonts w:ascii="Arial" w:hAnsi="Arial"/>
          <w:sz w:val="21"/>
        </w:rPr>
        <w:t>and</w:t>
      </w:r>
      <w:r w:rsidR="000376DC">
        <w:rPr>
          <w:rFonts w:ascii="Arial" w:hAnsi="Arial"/>
          <w:sz w:val="21"/>
        </w:rPr>
        <w:t xml:space="preserve"> </w:t>
      </w:r>
      <w:r w:rsidR="00B50CE0">
        <w:rPr>
          <w:rFonts w:ascii="Arial" w:hAnsi="Arial"/>
          <w:sz w:val="21"/>
        </w:rPr>
        <w:t>egregious</w:t>
      </w:r>
      <w:r w:rsidR="000376DC">
        <w:rPr>
          <w:rFonts w:ascii="Arial" w:hAnsi="Arial"/>
          <w:sz w:val="21"/>
        </w:rPr>
        <w:t xml:space="preserve"> landlords came back to us </w:t>
      </w:r>
      <w:r w:rsidR="00B50CE0">
        <w:rPr>
          <w:rFonts w:ascii="Arial" w:hAnsi="Arial"/>
          <w:sz w:val="21"/>
        </w:rPr>
        <w:t>for second or third cases that required our defense</w:t>
      </w:r>
      <w:r w:rsidR="00B53256">
        <w:rPr>
          <w:rFonts w:ascii="Arial" w:hAnsi="Arial"/>
          <w:sz w:val="21"/>
        </w:rPr>
        <w:t>.</w:t>
      </w:r>
    </w:p>
    <w:p w14:paraId="48FFA55D" w14:textId="77777777" w:rsidR="00747B08" w:rsidRDefault="00747B08" w:rsidP="00747B08">
      <w:pPr>
        <w:jc w:val="both"/>
        <w:rPr>
          <w:rFonts w:ascii="Arial" w:hAnsi="Arial"/>
          <w:sz w:val="21"/>
        </w:rPr>
      </w:pPr>
    </w:p>
    <w:p w14:paraId="41A28156" w14:textId="597C60EF" w:rsidR="00747B08" w:rsidRDefault="006B37DE" w:rsidP="00747B08">
      <w:pPr>
        <w:jc w:val="both"/>
        <w:rPr>
          <w:rFonts w:ascii="Arial" w:hAnsi="Arial"/>
          <w:sz w:val="21"/>
        </w:rPr>
      </w:pPr>
      <w:r>
        <w:rPr>
          <w:rFonts w:ascii="Arial" w:hAnsi="Arial"/>
          <w:sz w:val="21"/>
        </w:rPr>
        <w:t>Finally, a</w:t>
      </w:r>
      <w:r w:rsidR="00D11CCE">
        <w:rPr>
          <w:rFonts w:ascii="Arial" w:hAnsi="Arial"/>
          <w:sz w:val="21"/>
        </w:rPr>
        <w:t>lthough separately funded, the results of the Santa Monica</w:t>
      </w:r>
      <w:r w:rsidR="00747B08">
        <w:rPr>
          <w:rFonts w:ascii="Arial" w:hAnsi="Arial"/>
          <w:sz w:val="21"/>
        </w:rPr>
        <w:t xml:space="preserve"> </w:t>
      </w:r>
      <w:r w:rsidR="00C26263">
        <w:rPr>
          <w:rFonts w:ascii="Arial" w:hAnsi="Arial"/>
          <w:sz w:val="21"/>
        </w:rPr>
        <w:t>r</w:t>
      </w:r>
      <w:r w:rsidR="00747B08">
        <w:rPr>
          <w:rFonts w:ascii="Arial" w:hAnsi="Arial"/>
          <w:sz w:val="21"/>
        </w:rPr>
        <w:t xml:space="preserve">ight to </w:t>
      </w:r>
      <w:r w:rsidR="00C26263">
        <w:rPr>
          <w:rFonts w:ascii="Arial" w:hAnsi="Arial"/>
          <w:sz w:val="21"/>
        </w:rPr>
        <w:t>c</w:t>
      </w:r>
      <w:r w:rsidR="00747B08">
        <w:rPr>
          <w:rFonts w:ascii="Arial" w:hAnsi="Arial"/>
          <w:sz w:val="21"/>
        </w:rPr>
        <w:t xml:space="preserve">ounsel </w:t>
      </w:r>
      <w:r w:rsidR="00D11CCE">
        <w:rPr>
          <w:rFonts w:ascii="Arial" w:hAnsi="Arial"/>
          <w:sz w:val="21"/>
        </w:rPr>
        <w:t xml:space="preserve">position </w:t>
      </w:r>
      <w:r w:rsidR="006040D2">
        <w:rPr>
          <w:rFonts w:ascii="Arial" w:hAnsi="Arial"/>
          <w:sz w:val="21"/>
        </w:rPr>
        <w:t>are reported below</w:t>
      </w:r>
      <w:r w:rsidR="009661B0">
        <w:rPr>
          <w:rFonts w:ascii="Arial" w:hAnsi="Arial"/>
          <w:sz w:val="21"/>
        </w:rPr>
        <w:t>;</w:t>
      </w:r>
      <w:r w:rsidR="006040D2">
        <w:rPr>
          <w:rFonts w:ascii="Arial" w:hAnsi="Arial"/>
          <w:sz w:val="21"/>
        </w:rPr>
        <w:t xml:space="preserve"> because the scope of work directly overlaps with th</w:t>
      </w:r>
      <w:r w:rsidR="00225375">
        <w:rPr>
          <w:rFonts w:ascii="Arial" w:hAnsi="Arial"/>
          <w:sz w:val="21"/>
        </w:rPr>
        <w:t>is</w:t>
      </w:r>
      <w:r w:rsidR="006040D2">
        <w:rPr>
          <w:rFonts w:ascii="Arial" w:hAnsi="Arial"/>
          <w:sz w:val="21"/>
        </w:rPr>
        <w:t xml:space="preserve"> General Office grant.</w:t>
      </w:r>
      <w:r w:rsidR="00B3584C">
        <w:rPr>
          <w:rFonts w:ascii="Arial" w:hAnsi="Arial"/>
          <w:sz w:val="21"/>
        </w:rPr>
        <w:t xml:space="preserve"> </w:t>
      </w:r>
      <w:r w:rsidR="00B53256">
        <w:rPr>
          <w:rFonts w:ascii="Arial" w:hAnsi="Arial"/>
          <w:sz w:val="21"/>
        </w:rPr>
        <w:t>Indeed, these grants provide complimentary services</w:t>
      </w:r>
      <w:r w:rsidR="00C26263">
        <w:rPr>
          <w:rFonts w:ascii="Arial" w:hAnsi="Arial"/>
          <w:sz w:val="21"/>
        </w:rPr>
        <w:t>;</w:t>
      </w:r>
      <w:r w:rsidR="00B53256">
        <w:rPr>
          <w:rFonts w:ascii="Arial" w:hAnsi="Arial"/>
          <w:sz w:val="21"/>
        </w:rPr>
        <w:t xml:space="preserve"> </w:t>
      </w:r>
      <w:r w:rsidR="00D74A52">
        <w:rPr>
          <w:rFonts w:ascii="Arial" w:hAnsi="Arial"/>
          <w:sz w:val="21"/>
        </w:rPr>
        <w:t>and, d</w:t>
      </w:r>
      <w:r w:rsidR="00995E4F">
        <w:rPr>
          <w:rFonts w:ascii="Arial" w:hAnsi="Arial"/>
          <w:sz w:val="21"/>
        </w:rPr>
        <w:t xml:space="preserve">espite the overlap, </w:t>
      </w:r>
      <w:r w:rsidR="00175D32">
        <w:rPr>
          <w:rFonts w:ascii="Arial" w:hAnsi="Arial"/>
          <w:sz w:val="21"/>
        </w:rPr>
        <w:t xml:space="preserve">both grants were able to </w:t>
      </w:r>
      <w:r w:rsidR="009365B3">
        <w:rPr>
          <w:rFonts w:ascii="Arial" w:hAnsi="Arial"/>
          <w:sz w:val="21"/>
        </w:rPr>
        <w:t>deliver significant and crucial services to our low-income residents</w:t>
      </w:r>
      <w:r w:rsidR="00AB39F0">
        <w:rPr>
          <w:rFonts w:ascii="Arial" w:hAnsi="Arial"/>
          <w:sz w:val="21"/>
        </w:rPr>
        <w:t>.</w:t>
      </w:r>
      <w:r w:rsidR="00B3584C">
        <w:rPr>
          <w:rFonts w:ascii="Arial" w:hAnsi="Arial"/>
          <w:sz w:val="21"/>
        </w:rPr>
        <w:t xml:space="preserve"> </w:t>
      </w:r>
      <w:r w:rsidR="00AB39F0">
        <w:rPr>
          <w:rFonts w:ascii="Arial" w:hAnsi="Arial"/>
          <w:sz w:val="21"/>
        </w:rPr>
        <w:t xml:space="preserve">It has been our goal </w:t>
      </w:r>
      <w:r w:rsidR="00747B08">
        <w:rPr>
          <w:rFonts w:ascii="Arial" w:hAnsi="Arial"/>
          <w:sz w:val="21"/>
        </w:rPr>
        <w:t>to offer full</w:t>
      </w:r>
      <w:r w:rsidR="00C26263">
        <w:rPr>
          <w:rFonts w:ascii="Arial" w:hAnsi="Arial"/>
          <w:sz w:val="21"/>
        </w:rPr>
        <w:t>-</w:t>
      </w:r>
      <w:r w:rsidR="00747B08">
        <w:rPr>
          <w:rFonts w:ascii="Arial" w:hAnsi="Arial"/>
          <w:sz w:val="21"/>
        </w:rPr>
        <w:t>scope representation to any tenant who comes to us with a</w:t>
      </w:r>
      <w:r w:rsidR="00C40370">
        <w:rPr>
          <w:rFonts w:ascii="Arial" w:hAnsi="Arial"/>
          <w:sz w:val="21"/>
        </w:rPr>
        <w:t>n</w:t>
      </w:r>
      <w:r w:rsidR="00747B08">
        <w:rPr>
          <w:rFonts w:ascii="Arial" w:hAnsi="Arial"/>
          <w:sz w:val="21"/>
        </w:rPr>
        <w:t xml:space="preserve"> </w:t>
      </w:r>
      <w:r w:rsidR="00C26263">
        <w:rPr>
          <w:rFonts w:ascii="Arial" w:hAnsi="Arial"/>
          <w:sz w:val="21"/>
        </w:rPr>
        <w:t>u</w:t>
      </w:r>
      <w:r w:rsidR="008F02C7">
        <w:rPr>
          <w:rFonts w:ascii="Arial" w:hAnsi="Arial"/>
          <w:sz w:val="21"/>
        </w:rPr>
        <w:t xml:space="preserve">nlawful </w:t>
      </w:r>
      <w:r w:rsidR="00C26263">
        <w:rPr>
          <w:rFonts w:ascii="Arial" w:hAnsi="Arial"/>
          <w:sz w:val="21"/>
        </w:rPr>
        <w:t>d</w:t>
      </w:r>
      <w:r w:rsidR="008F02C7">
        <w:rPr>
          <w:rFonts w:ascii="Arial" w:hAnsi="Arial"/>
          <w:sz w:val="21"/>
        </w:rPr>
        <w:t>etainer</w:t>
      </w:r>
      <w:r w:rsidR="00747B08">
        <w:rPr>
          <w:rFonts w:ascii="Arial" w:hAnsi="Arial"/>
          <w:sz w:val="21"/>
        </w:rPr>
        <w:t xml:space="preserve"> </w:t>
      </w:r>
      <w:r w:rsidR="00267262">
        <w:rPr>
          <w:rFonts w:ascii="Arial" w:hAnsi="Arial"/>
          <w:sz w:val="21"/>
        </w:rPr>
        <w:t xml:space="preserve">(UD) </w:t>
      </w:r>
      <w:r w:rsidR="00747B08">
        <w:rPr>
          <w:rFonts w:ascii="Arial" w:hAnsi="Arial"/>
          <w:sz w:val="21"/>
        </w:rPr>
        <w:t>case.</w:t>
      </w:r>
      <w:r w:rsidR="00B3584C">
        <w:rPr>
          <w:rFonts w:ascii="Arial" w:hAnsi="Arial"/>
          <w:sz w:val="21"/>
        </w:rPr>
        <w:t xml:space="preserve"> </w:t>
      </w:r>
      <w:r w:rsidR="00747B08">
        <w:rPr>
          <w:rFonts w:ascii="Arial" w:hAnsi="Arial"/>
          <w:sz w:val="21"/>
        </w:rPr>
        <w:t xml:space="preserve">To this point, </w:t>
      </w:r>
      <w:r w:rsidR="00225375">
        <w:rPr>
          <w:rFonts w:ascii="Arial" w:hAnsi="Arial"/>
          <w:sz w:val="21"/>
        </w:rPr>
        <w:t xml:space="preserve">between both grants, </w:t>
      </w:r>
      <w:r w:rsidR="00747B08">
        <w:rPr>
          <w:rFonts w:ascii="Arial" w:hAnsi="Arial"/>
          <w:sz w:val="21"/>
        </w:rPr>
        <w:t xml:space="preserve">we have </w:t>
      </w:r>
      <w:r w:rsidR="009365B3">
        <w:rPr>
          <w:rFonts w:ascii="Arial" w:hAnsi="Arial"/>
          <w:sz w:val="21"/>
        </w:rPr>
        <w:t xml:space="preserve">largely </w:t>
      </w:r>
      <w:r w:rsidR="00747B08" w:rsidRPr="009365B3">
        <w:rPr>
          <w:rFonts w:ascii="Arial" w:hAnsi="Arial"/>
          <w:sz w:val="21"/>
        </w:rPr>
        <w:t>met that goal</w:t>
      </w:r>
      <w:r w:rsidR="00747B08">
        <w:rPr>
          <w:rFonts w:ascii="Arial" w:hAnsi="Arial"/>
          <w:sz w:val="21"/>
        </w:rPr>
        <w:t>.</w:t>
      </w:r>
      <w:r w:rsidR="00B3584C">
        <w:rPr>
          <w:rFonts w:ascii="Arial" w:hAnsi="Arial"/>
          <w:sz w:val="21"/>
        </w:rPr>
        <w:t xml:space="preserve"> </w:t>
      </w:r>
      <w:r w:rsidR="00747B08">
        <w:rPr>
          <w:rFonts w:ascii="Arial" w:hAnsi="Arial"/>
          <w:sz w:val="21"/>
        </w:rPr>
        <w:t>Keeping Santa Monicans housed has never been more important.</w:t>
      </w:r>
    </w:p>
    <w:p w14:paraId="321FCD18" w14:textId="090BEDCF" w:rsidR="00E649AF" w:rsidRDefault="00E649AF" w:rsidP="00747B08">
      <w:pPr>
        <w:jc w:val="both"/>
        <w:rPr>
          <w:rFonts w:ascii="Arial" w:hAnsi="Arial"/>
          <w:sz w:val="21"/>
        </w:rPr>
      </w:pPr>
    </w:p>
    <w:p w14:paraId="29AEDABE" w14:textId="08A0A1AD" w:rsidR="00E649AF" w:rsidRPr="009B6D5E" w:rsidRDefault="00E649AF" w:rsidP="00747B08">
      <w:pPr>
        <w:jc w:val="both"/>
        <w:rPr>
          <w:rFonts w:ascii="Arial" w:hAnsi="Arial"/>
          <w:sz w:val="21"/>
        </w:rPr>
      </w:pPr>
      <w:r>
        <w:rPr>
          <w:rFonts w:ascii="Arial" w:hAnsi="Arial"/>
          <w:sz w:val="21"/>
        </w:rPr>
        <w:t>During the still ongoing public health crisis, our commitment to serving Santa Monica residents has not wavered</w:t>
      </w:r>
      <w:r w:rsidR="00C26263">
        <w:rPr>
          <w:rFonts w:ascii="Arial" w:hAnsi="Arial"/>
          <w:sz w:val="21"/>
        </w:rPr>
        <w:t>;</w:t>
      </w:r>
      <w:r>
        <w:rPr>
          <w:rFonts w:ascii="Arial" w:hAnsi="Arial"/>
          <w:sz w:val="21"/>
        </w:rPr>
        <w:t xml:space="preserve"> and we remain dedicated to delivering high quality advice and representation despite the continued health and safety challenges we all face.</w:t>
      </w:r>
    </w:p>
    <w:p w14:paraId="1248A181" w14:textId="77777777" w:rsidR="00747B08" w:rsidRPr="009B6D5E" w:rsidRDefault="00747B08" w:rsidP="00747B08">
      <w:pPr>
        <w:jc w:val="both"/>
        <w:rPr>
          <w:rFonts w:ascii="Arial" w:hAnsi="Arial"/>
          <w:sz w:val="21"/>
        </w:rPr>
      </w:pPr>
    </w:p>
    <w:p w14:paraId="07687C80" w14:textId="156A1E48" w:rsidR="00747B08" w:rsidRDefault="00747B08" w:rsidP="00747B08">
      <w:pPr>
        <w:jc w:val="both"/>
        <w:rPr>
          <w:rFonts w:ascii="Arial" w:hAnsi="Arial"/>
          <w:sz w:val="21"/>
        </w:rPr>
      </w:pPr>
      <w:r w:rsidRPr="00375032">
        <w:rPr>
          <w:rFonts w:ascii="Arial" w:hAnsi="Arial"/>
          <w:sz w:val="21"/>
          <w:u w:val="single"/>
        </w:rPr>
        <w:t xml:space="preserve">Other accomplishments during </w:t>
      </w:r>
      <w:r w:rsidR="008D7BAA">
        <w:rPr>
          <w:rFonts w:ascii="Arial" w:hAnsi="Arial"/>
          <w:sz w:val="21"/>
          <w:u w:val="single"/>
        </w:rPr>
        <w:t xml:space="preserve">the </w:t>
      </w:r>
      <w:r w:rsidRPr="00375032">
        <w:rPr>
          <w:rFonts w:ascii="Arial" w:hAnsi="Arial"/>
          <w:sz w:val="21"/>
          <w:u w:val="single"/>
        </w:rPr>
        <w:t>grant year include</w:t>
      </w:r>
      <w:r w:rsidRPr="009B6D5E">
        <w:rPr>
          <w:rFonts w:ascii="Arial" w:hAnsi="Arial"/>
          <w:sz w:val="21"/>
        </w:rPr>
        <w:t>:</w:t>
      </w:r>
    </w:p>
    <w:p w14:paraId="4E7CFB8A" w14:textId="77777777" w:rsidR="00747B08" w:rsidRPr="00BD0710" w:rsidRDefault="00747B08" w:rsidP="00747B08">
      <w:pPr>
        <w:jc w:val="both"/>
        <w:rPr>
          <w:rFonts w:ascii="Arial" w:hAnsi="Arial"/>
          <w:sz w:val="21"/>
        </w:rPr>
      </w:pPr>
    </w:p>
    <w:p w14:paraId="2118514A" w14:textId="51CE9D5A" w:rsidR="00DA76B3" w:rsidRDefault="00CF7785" w:rsidP="00D43B05">
      <w:pPr>
        <w:pStyle w:val="ListParagraph"/>
        <w:numPr>
          <w:ilvl w:val="0"/>
          <w:numId w:val="11"/>
        </w:numPr>
        <w:jc w:val="both"/>
        <w:rPr>
          <w:rFonts w:ascii="Arial" w:hAnsi="Arial"/>
          <w:sz w:val="21"/>
        </w:rPr>
      </w:pPr>
      <w:r>
        <w:rPr>
          <w:rFonts w:ascii="Arial" w:hAnsi="Arial"/>
          <w:sz w:val="21"/>
        </w:rPr>
        <w:t>The number of unlawful detainer cases continue to grow each day</w:t>
      </w:r>
      <w:r w:rsidR="00662E7C">
        <w:rPr>
          <w:rFonts w:ascii="Arial" w:hAnsi="Arial"/>
          <w:sz w:val="21"/>
        </w:rPr>
        <w:t>, many aimed at our long-term and elderly</w:t>
      </w:r>
      <w:r w:rsidR="00C26263">
        <w:rPr>
          <w:rFonts w:ascii="Arial" w:hAnsi="Arial"/>
          <w:sz w:val="21"/>
        </w:rPr>
        <w:t>,</w:t>
      </w:r>
      <w:r w:rsidR="00662E7C">
        <w:rPr>
          <w:rFonts w:ascii="Arial" w:hAnsi="Arial"/>
          <w:sz w:val="21"/>
        </w:rPr>
        <w:t xml:space="preserve"> rent-controlled tenants in an</w:t>
      </w:r>
      <w:r w:rsidR="00D74A52">
        <w:rPr>
          <w:rFonts w:ascii="Arial" w:hAnsi="Arial"/>
          <w:sz w:val="21"/>
        </w:rPr>
        <w:t xml:space="preserve"> apparent</w:t>
      </w:r>
      <w:r w:rsidR="00662E7C">
        <w:rPr>
          <w:rFonts w:ascii="Arial" w:hAnsi="Arial"/>
          <w:sz w:val="21"/>
        </w:rPr>
        <w:t xml:space="preserve"> effort to </w:t>
      </w:r>
      <w:r w:rsidR="003D7D90">
        <w:rPr>
          <w:rFonts w:ascii="Arial" w:hAnsi="Arial"/>
          <w:sz w:val="21"/>
        </w:rPr>
        <w:t xml:space="preserve">raise </w:t>
      </w:r>
      <w:r w:rsidR="00D74A52">
        <w:rPr>
          <w:rFonts w:ascii="Arial" w:hAnsi="Arial"/>
          <w:sz w:val="21"/>
        </w:rPr>
        <w:t xml:space="preserve">their units </w:t>
      </w:r>
      <w:r w:rsidR="003D7D90">
        <w:rPr>
          <w:rFonts w:ascii="Arial" w:hAnsi="Arial"/>
          <w:sz w:val="21"/>
        </w:rPr>
        <w:t>to market rent.</w:t>
      </w:r>
      <w:r w:rsidR="00B3584C">
        <w:rPr>
          <w:rFonts w:ascii="Arial" w:hAnsi="Arial"/>
          <w:sz w:val="21"/>
        </w:rPr>
        <w:t xml:space="preserve"> </w:t>
      </w:r>
      <w:r w:rsidR="00044A00">
        <w:rPr>
          <w:rFonts w:ascii="Arial" w:hAnsi="Arial"/>
          <w:sz w:val="21"/>
        </w:rPr>
        <w:t xml:space="preserve">In addition to all the existing litigation, </w:t>
      </w:r>
      <w:r w:rsidR="008F213C">
        <w:rPr>
          <w:rFonts w:ascii="Arial" w:hAnsi="Arial"/>
          <w:sz w:val="21"/>
        </w:rPr>
        <w:t xml:space="preserve">between </w:t>
      </w:r>
      <w:r w:rsidR="00044A00">
        <w:rPr>
          <w:rFonts w:ascii="Arial" w:hAnsi="Arial"/>
          <w:sz w:val="21"/>
        </w:rPr>
        <w:t>t</w:t>
      </w:r>
      <w:r w:rsidR="0022193E">
        <w:rPr>
          <w:rFonts w:ascii="Arial" w:hAnsi="Arial"/>
          <w:sz w:val="21"/>
        </w:rPr>
        <w:t>he Santa Monica Office</w:t>
      </w:r>
      <w:r w:rsidR="008F213C">
        <w:rPr>
          <w:rFonts w:ascii="Arial" w:hAnsi="Arial"/>
          <w:sz w:val="21"/>
        </w:rPr>
        <w:t xml:space="preserve"> grant and the Right to Counsel grant, we</w:t>
      </w:r>
      <w:r w:rsidR="0022193E">
        <w:rPr>
          <w:rFonts w:ascii="Arial" w:hAnsi="Arial"/>
          <w:sz w:val="21"/>
        </w:rPr>
        <w:t xml:space="preserve"> </w:t>
      </w:r>
      <w:r w:rsidR="00DC78D5">
        <w:rPr>
          <w:rFonts w:ascii="Arial" w:hAnsi="Arial"/>
          <w:sz w:val="21"/>
        </w:rPr>
        <w:t>opened</w:t>
      </w:r>
      <w:r w:rsidR="0022193E">
        <w:rPr>
          <w:rFonts w:ascii="Arial" w:hAnsi="Arial"/>
          <w:sz w:val="21"/>
        </w:rPr>
        <w:t xml:space="preserve"> </w:t>
      </w:r>
      <w:r w:rsidR="008F213C">
        <w:rPr>
          <w:rFonts w:ascii="Arial" w:hAnsi="Arial"/>
          <w:sz w:val="21"/>
        </w:rPr>
        <w:t>approximately</w:t>
      </w:r>
      <w:r w:rsidR="0022193E">
        <w:rPr>
          <w:rFonts w:ascii="Arial" w:hAnsi="Arial"/>
          <w:sz w:val="21"/>
        </w:rPr>
        <w:t xml:space="preserve"> 34 new UD cases since January 1, 2022</w:t>
      </w:r>
      <w:r w:rsidR="00044A00">
        <w:rPr>
          <w:rFonts w:ascii="Arial" w:hAnsi="Arial"/>
          <w:sz w:val="21"/>
        </w:rPr>
        <w:t>,</w:t>
      </w:r>
      <w:r w:rsidR="0022193E">
        <w:rPr>
          <w:rFonts w:ascii="Arial" w:hAnsi="Arial"/>
          <w:sz w:val="21"/>
        </w:rPr>
        <w:t xml:space="preserve"> with more coming </w:t>
      </w:r>
      <w:r w:rsidR="00044A00">
        <w:rPr>
          <w:rFonts w:ascii="Arial" w:hAnsi="Arial"/>
          <w:sz w:val="21"/>
        </w:rPr>
        <w:t>every day.</w:t>
      </w:r>
      <w:r w:rsidR="00B3584C">
        <w:rPr>
          <w:rFonts w:ascii="Arial" w:hAnsi="Arial"/>
          <w:sz w:val="21"/>
        </w:rPr>
        <w:t xml:space="preserve"> </w:t>
      </w:r>
      <w:r w:rsidR="005B3BB4">
        <w:rPr>
          <w:rFonts w:ascii="Arial" w:hAnsi="Arial"/>
          <w:sz w:val="21"/>
        </w:rPr>
        <w:t xml:space="preserve">LAFLA has successfully defeated many of these cases </w:t>
      </w:r>
      <w:r w:rsidR="00FC43B8">
        <w:rPr>
          <w:rFonts w:ascii="Arial" w:hAnsi="Arial"/>
          <w:sz w:val="21"/>
        </w:rPr>
        <w:t xml:space="preserve">at either the demurrer or summary judgment </w:t>
      </w:r>
      <w:r w:rsidR="00765667">
        <w:rPr>
          <w:rFonts w:ascii="Arial" w:hAnsi="Arial"/>
          <w:sz w:val="21"/>
        </w:rPr>
        <w:t>stage before</w:t>
      </w:r>
      <w:r w:rsidR="00FC43B8">
        <w:rPr>
          <w:rFonts w:ascii="Arial" w:hAnsi="Arial"/>
          <w:sz w:val="21"/>
        </w:rPr>
        <w:t xml:space="preserve"> they ever get to trial.</w:t>
      </w:r>
      <w:r w:rsidR="00B3584C">
        <w:rPr>
          <w:rFonts w:ascii="Arial" w:hAnsi="Arial"/>
          <w:sz w:val="21"/>
        </w:rPr>
        <w:t xml:space="preserve"> </w:t>
      </w:r>
      <w:r w:rsidR="00765667">
        <w:rPr>
          <w:rFonts w:ascii="Arial" w:hAnsi="Arial"/>
          <w:sz w:val="21"/>
        </w:rPr>
        <w:t xml:space="preserve">Our eviction defense attorneys </w:t>
      </w:r>
      <w:r w:rsidR="00804515">
        <w:rPr>
          <w:rFonts w:ascii="Arial" w:hAnsi="Arial"/>
          <w:sz w:val="21"/>
        </w:rPr>
        <w:t xml:space="preserve">(from both </w:t>
      </w:r>
      <w:r w:rsidR="003D368B">
        <w:rPr>
          <w:rFonts w:ascii="Arial" w:hAnsi="Arial"/>
          <w:sz w:val="21"/>
        </w:rPr>
        <w:t xml:space="preserve">the General </w:t>
      </w:r>
      <w:r w:rsidR="00804515">
        <w:rPr>
          <w:rFonts w:ascii="Arial" w:hAnsi="Arial"/>
          <w:sz w:val="21"/>
        </w:rPr>
        <w:t xml:space="preserve">Office and Right to Counsel grants) </w:t>
      </w:r>
      <w:r w:rsidR="00765667">
        <w:rPr>
          <w:rFonts w:ascii="Arial" w:hAnsi="Arial"/>
          <w:sz w:val="21"/>
        </w:rPr>
        <w:t xml:space="preserve">have </w:t>
      </w:r>
      <w:r w:rsidR="00092171">
        <w:rPr>
          <w:rFonts w:ascii="Arial" w:hAnsi="Arial"/>
          <w:sz w:val="21"/>
        </w:rPr>
        <w:t xml:space="preserve">provided </w:t>
      </w:r>
      <w:r w:rsidR="00D53942">
        <w:rPr>
          <w:rFonts w:ascii="Arial" w:hAnsi="Arial"/>
          <w:sz w:val="21"/>
        </w:rPr>
        <w:t>more full</w:t>
      </w:r>
      <w:r w:rsidR="00267262">
        <w:rPr>
          <w:rFonts w:ascii="Arial" w:hAnsi="Arial"/>
          <w:sz w:val="21"/>
        </w:rPr>
        <w:t>-</w:t>
      </w:r>
      <w:r w:rsidR="00D53942">
        <w:rPr>
          <w:rFonts w:ascii="Arial" w:hAnsi="Arial"/>
          <w:sz w:val="21"/>
        </w:rPr>
        <w:t>scope UD defense than at any time in recent history</w:t>
      </w:r>
      <w:r w:rsidR="00DC78D5">
        <w:rPr>
          <w:rFonts w:ascii="Arial" w:hAnsi="Arial"/>
          <w:sz w:val="21"/>
        </w:rPr>
        <w:t xml:space="preserve"> in the Santa Monica office</w:t>
      </w:r>
      <w:r w:rsidR="00D53942">
        <w:rPr>
          <w:rFonts w:ascii="Arial" w:hAnsi="Arial"/>
          <w:sz w:val="21"/>
        </w:rPr>
        <w:t>.</w:t>
      </w:r>
      <w:r w:rsidR="00B3584C">
        <w:rPr>
          <w:rFonts w:ascii="Arial" w:hAnsi="Arial"/>
          <w:sz w:val="21"/>
        </w:rPr>
        <w:t xml:space="preserve"> </w:t>
      </w:r>
      <w:r w:rsidR="006640A0">
        <w:rPr>
          <w:rFonts w:ascii="Arial" w:hAnsi="Arial"/>
          <w:sz w:val="21"/>
        </w:rPr>
        <w:t xml:space="preserve">Keeping tenants housed and combatting improper eviction attempts prevents </w:t>
      </w:r>
      <w:r w:rsidR="00B052FF">
        <w:rPr>
          <w:rFonts w:ascii="Arial" w:hAnsi="Arial"/>
          <w:sz w:val="21"/>
        </w:rPr>
        <w:t xml:space="preserve">them from becoming </w:t>
      </w:r>
      <w:r w:rsidR="00804515">
        <w:rPr>
          <w:rFonts w:ascii="Arial" w:hAnsi="Arial"/>
          <w:sz w:val="21"/>
        </w:rPr>
        <w:t>unhoused and</w:t>
      </w:r>
      <w:r w:rsidR="00B052FF">
        <w:rPr>
          <w:rFonts w:ascii="Arial" w:hAnsi="Arial"/>
          <w:sz w:val="21"/>
        </w:rPr>
        <w:t xml:space="preserve"> preserves the diversity of our community.</w:t>
      </w:r>
    </w:p>
    <w:p w14:paraId="4FA8DA93" w14:textId="77777777" w:rsidR="00D53942" w:rsidRDefault="00D53942" w:rsidP="00D53942">
      <w:pPr>
        <w:pStyle w:val="ListParagraph"/>
        <w:rPr>
          <w:rFonts w:ascii="Arial" w:hAnsi="Arial"/>
          <w:sz w:val="21"/>
        </w:rPr>
      </w:pPr>
    </w:p>
    <w:p w14:paraId="2BCAAA16" w14:textId="0CE67775" w:rsidR="00747B08" w:rsidRDefault="005032D1" w:rsidP="00EF5200">
      <w:pPr>
        <w:pStyle w:val="ListParagraph"/>
        <w:numPr>
          <w:ilvl w:val="0"/>
          <w:numId w:val="11"/>
        </w:numPr>
        <w:jc w:val="both"/>
        <w:rPr>
          <w:rFonts w:ascii="Arial" w:hAnsi="Arial"/>
          <w:sz w:val="21"/>
        </w:rPr>
      </w:pPr>
      <w:r>
        <w:rPr>
          <w:rFonts w:ascii="Arial" w:hAnsi="Arial"/>
          <w:sz w:val="21"/>
        </w:rPr>
        <w:t xml:space="preserve">We continue to combat income discrimination </w:t>
      </w:r>
      <w:r w:rsidR="00693C7D">
        <w:rPr>
          <w:rFonts w:ascii="Arial" w:hAnsi="Arial"/>
          <w:sz w:val="21"/>
        </w:rPr>
        <w:t xml:space="preserve">by Santa Monica landlords </w:t>
      </w:r>
      <w:r>
        <w:rPr>
          <w:rFonts w:ascii="Arial" w:hAnsi="Arial"/>
          <w:sz w:val="21"/>
        </w:rPr>
        <w:t>through affirmative lit</w:t>
      </w:r>
      <w:r w:rsidR="00416AD6">
        <w:rPr>
          <w:rFonts w:ascii="Arial" w:hAnsi="Arial"/>
          <w:sz w:val="21"/>
        </w:rPr>
        <w:t>igation.</w:t>
      </w:r>
      <w:r w:rsidR="00B3584C">
        <w:rPr>
          <w:rFonts w:ascii="Arial" w:hAnsi="Arial"/>
          <w:sz w:val="21"/>
        </w:rPr>
        <w:t xml:space="preserve"> </w:t>
      </w:r>
      <w:r w:rsidR="00747B08" w:rsidRPr="009623FD">
        <w:rPr>
          <w:rFonts w:ascii="Arial" w:hAnsi="Arial"/>
          <w:sz w:val="21"/>
        </w:rPr>
        <w:t>In March 2020, LAFLA filed an affirmative lawsuit for income discrimination on behalf of a Santa Monica resident against their landlord regarding, among other things, their refusal to accept Section 8 funds paid on behalf of a tenant.</w:t>
      </w:r>
      <w:r w:rsidR="00B3584C">
        <w:rPr>
          <w:rFonts w:ascii="Arial" w:hAnsi="Arial"/>
          <w:sz w:val="21"/>
        </w:rPr>
        <w:t xml:space="preserve"> </w:t>
      </w:r>
      <w:r w:rsidR="00747B08" w:rsidRPr="009623FD">
        <w:rPr>
          <w:rFonts w:ascii="Arial" w:hAnsi="Arial"/>
          <w:sz w:val="21"/>
        </w:rPr>
        <w:t xml:space="preserve">A year earlier, the Santa Monica's City Attorney's office initiated </w:t>
      </w:r>
      <w:r w:rsidR="00747B08">
        <w:rPr>
          <w:rFonts w:ascii="Arial" w:hAnsi="Arial"/>
          <w:sz w:val="21"/>
        </w:rPr>
        <w:t xml:space="preserve">their own </w:t>
      </w:r>
      <w:r w:rsidR="00747B08" w:rsidRPr="009623FD">
        <w:rPr>
          <w:rFonts w:ascii="Arial" w:hAnsi="Arial"/>
          <w:sz w:val="21"/>
        </w:rPr>
        <w:t xml:space="preserve">suit against </w:t>
      </w:r>
      <w:r w:rsidR="00747B08">
        <w:rPr>
          <w:rFonts w:ascii="Arial" w:hAnsi="Arial"/>
          <w:sz w:val="21"/>
        </w:rPr>
        <w:t>the same landlord</w:t>
      </w:r>
      <w:r w:rsidR="00747B08" w:rsidRPr="009623FD">
        <w:rPr>
          <w:rFonts w:ascii="Arial" w:hAnsi="Arial"/>
          <w:sz w:val="21"/>
        </w:rPr>
        <w:t xml:space="preserve"> </w:t>
      </w:r>
      <w:r w:rsidR="00747B08">
        <w:rPr>
          <w:rFonts w:ascii="Arial" w:hAnsi="Arial"/>
          <w:sz w:val="21"/>
        </w:rPr>
        <w:t>for the same reason.</w:t>
      </w:r>
      <w:r w:rsidR="00747B08" w:rsidRPr="009623FD">
        <w:rPr>
          <w:rFonts w:ascii="Arial" w:hAnsi="Arial"/>
          <w:sz w:val="21"/>
        </w:rPr>
        <w:t xml:space="preserve"> LAFLA Santa Monica, along with partner and </w:t>
      </w:r>
      <w:r w:rsidR="00747B08" w:rsidRPr="009623FD">
        <w:rPr>
          <w:rFonts w:ascii="Arial" w:hAnsi="Arial"/>
          <w:sz w:val="21"/>
        </w:rPr>
        <w:lastRenderedPageBreak/>
        <w:t>co-counsel Western Center on Law and Poverty, filed a suit on behalf of the tenant</w:t>
      </w:r>
      <w:r w:rsidR="00747B08">
        <w:rPr>
          <w:rFonts w:ascii="Arial" w:hAnsi="Arial"/>
          <w:sz w:val="21"/>
        </w:rPr>
        <w:t xml:space="preserve"> personally and in support of the City’s related suit</w:t>
      </w:r>
      <w:r w:rsidR="00747B08" w:rsidRPr="009623FD">
        <w:rPr>
          <w:rFonts w:ascii="Arial" w:hAnsi="Arial"/>
          <w:sz w:val="21"/>
        </w:rPr>
        <w:t>.</w:t>
      </w:r>
      <w:r w:rsidR="00B3584C">
        <w:rPr>
          <w:rFonts w:ascii="Arial" w:hAnsi="Arial"/>
          <w:sz w:val="21"/>
        </w:rPr>
        <w:t xml:space="preserve"> </w:t>
      </w:r>
      <w:r w:rsidR="00747B08" w:rsidRPr="009623FD">
        <w:rPr>
          <w:rFonts w:ascii="Arial" w:hAnsi="Arial"/>
          <w:sz w:val="21"/>
        </w:rPr>
        <w:t xml:space="preserve">LAFLA and its co-counsel spent significant time </w:t>
      </w:r>
      <w:r w:rsidR="00CB7D88">
        <w:rPr>
          <w:rFonts w:ascii="Arial" w:hAnsi="Arial"/>
          <w:sz w:val="21"/>
        </w:rPr>
        <w:t>defeating</w:t>
      </w:r>
      <w:r w:rsidR="00747B08" w:rsidRPr="009623FD">
        <w:rPr>
          <w:rFonts w:ascii="Arial" w:hAnsi="Arial"/>
          <w:sz w:val="21"/>
        </w:rPr>
        <w:t xml:space="preserve"> an improper anti-SLAPP </w:t>
      </w:r>
      <w:r w:rsidR="00267262">
        <w:rPr>
          <w:rFonts w:ascii="Arial" w:hAnsi="Arial"/>
          <w:sz w:val="21"/>
        </w:rPr>
        <w:t>m</w:t>
      </w:r>
      <w:r w:rsidR="00747B08" w:rsidRPr="009623FD">
        <w:rPr>
          <w:rFonts w:ascii="Arial" w:hAnsi="Arial"/>
          <w:sz w:val="21"/>
        </w:rPr>
        <w:t xml:space="preserve">otion to </w:t>
      </w:r>
      <w:r w:rsidR="00267262">
        <w:rPr>
          <w:rFonts w:ascii="Arial" w:hAnsi="Arial"/>
          <w:sz w:val="21"/>
        </w:rPr>
        <w:t>s</w:t>
      </w:r>
      <w:r w:rsidR="00747B08" w:rsidRPr="009623FD">
        <w:rPr>
          <w:rFonts w:ascii="Arial" w:hAnsi="Arial"/>
          <w:sz w:val="21"/>
        </w:rPr>
        <w:t xml:space="preserve">trike filed by </w:t>
      </w:r>
      <w:r w:rsidR="00267262">
        <w:rPr>
          <w:rFonts w:ascii="Arial" w:hAnsi="Arial"/>
          <w:sz w:val="21"/>
        </w:rPr>
        <w:t>d</w:t>
      </w:r>
      <w:r w:rsidR="00747B08" w:rsidRPr="009623FD">
        <w:rPr>
          <w:rFonts w:ascii="Arial" w:hAnsi="Arial"/>
          <w:sz w:val="21"/>
        </w:rPr>
        <w:t>efendants</w:t>
      </w:r>
      <w:r w:rsidR="00CB7D88">
        <w:rPr>
          <w:rFonts w:ascii="Arial" w:hAnsi="Arial"/>
          <w:sz w:val="21"/>
        </w:rPr>
        <w:t>, which we did</w:t>
      </w:r>
      <w:r w:rsidR="00747B08" w:rsidRPr="009623FD">
        <w:rPr>
          <w:rFonts w:ascii="Arial" w:hAnsi="Arial"/>
          <w:sz w:val="21"/>
        </w:rPr>
        <w:t>.</w:t>
      </w:r>
      <w:r w:rsidR="00B3584C">
        <w:rPr>
          <w:rFonts w:ascii="Arial" w:hAnsi="Arial"/>
          <w:sz w:val="21"/>
        </w:rPr>
        <w:t xml:space="preserve"> </w:t>
      </w:r>
      <w:r w:rsidR="00CB7D88">
        <w:rPr>
          <w:rFonts w:ascii="Arial" w:hAnsi="Arial"/>
          <w:sz w:val="21"/>
        </w:rPr>
        <w:t xml:space="preserve">We </w:t>
      </w:r>
      <w:r w:rsidR="00747B08">
        <w:rPr>
          <w:rFonts w:ascii="Arial" w:hAnsi="Arial"/>
          <w:sz w:val="21"/>
        </w:rPr>
        <w:t>are</w:t>
      </w:r>
      <w:r w:rsidR="00CB7D88">
        <w:rPr>
          <w:rFonts w:ascii="Arial" w:hAnsi="Arial"/>
          <w:sz w:val="21"/>
        </w:rPr>
        <w:t xml:space="preserve"> now</w:t>
      </w:r>
      <w:r w:rsidR="00747B08">
        <w:rPr>
          <w:rFonts w:ascii="Arial" w:hAnsi="Arial"/>
          <w:sz w:val="21"/>
        </w:rPr>
        <w:t xml:space="preserve"> </w:t>
      </w:r>
      <w:r w:rsidR="00747B08" w:rsidRPr="009623FD">
        <w:rPr>
          <w:rFonts w:ascii="Arial" w:hAnsi="Arial"/>
          <w:sz w:val="21"/>
        </w:rPr>
        <w:t>work</w:t>
      </w:r>
      <w:r w:rsidR="00747B08">
        <w:rPr>
          <w:rFonts w:ascii="Arial" w:hAnsi="Arial"/>
          <w:sz w:val="21"/>
        </w:rPr>
        <w:t>ing</w:t>
      </w:r>
      <w:r w:rsidR="00747B08" w:rsidRPr="009623FD">
        <w:rPr>
          <w:rFonts w:ascii="Arial" w:hAnsi="Arial"/>
          <w:sz w:val="21"/>
        </w:rPr>
        <w:t xml:space="preserve"> to prepare the case for trial.</w:t>
      </w:r>
      <w:r w:rsidR="00B3584C">
        <w:rPr>
          <w:rFonts w:ascii="Arial" w:hAnsi="Arial"/>
          <w:sz w:val="21"/>
        </w:rPr>
        <w:t xml:space="preserve"> </w:t>
      </w:r>
      <w:r w:rsidR="00747B08" w:rsidRPr="009623FD">
        <w:rPr>
          <w:rFonts w:ascii="Arial" w:hAnsi="Arial"/>
          <w:sz w:val="21"/>
        </w:rPr>
        <w:t>LAFLA believes this ruling</w:t>
      </w:r>
      <w:r w:rsidR="00747B08">
        <w:rPr>
          <w:rFonts w:ascii="Arial" w:hAnsi="Arial"/>
          <w:sz w:val="21"/>
        </w:rPr>
        <w:t>, should it reach trial,</w:t>
      </w:r>
      <w:r w:rsidR="00747B08" w:rsidRPr="009623FD">
        <w:rPr>
          <w:rFonts w:ascii="Arial" w:hAnsi="Arial"/>
          <w:sz w:val="21"/>
        </w:rPr>
        <w:t xml:space="preserve"> could have a wide-ranging impact on many Santa Monica residents who rely on Section 8 vouchers to afford rent.</w:t>
      </w:r>
    </w:p>
    <w:p w14:paraId="0927E637" w14:textId="77777777" w:rsidR="002374BD" w:rsidRDefault="002374BD" w:rsidP="002374BD">
      <w:pPr>
        <w:pStyle w:val="ListParagraph"/>
        <w:rPr>
          <w:rFonts w:ascii="Arial" w:hAnsi="Arial"/>
          <w:sz w:val="21"/>
        </w:rPr>
      </w:pPr>
    </w:p>
    <w:p w14:paraId="57DEE201" w14:textId="0BEE3866" w:rsidR="002374BD" w:rsidRDefault="002374BD" w:rsidP="002924A7">
      <w:pPr>
        <w:pStyle w:val="ListParagraph"/>
        <w:numPr>
          <w:ilvl w:val="0"/>
          <w:numId w:val="11"/>
        </w:numPr>
        <w:jc w:val="both"/>
        <w:rPr>
          <w:rFonts w:ascii="Arial" w:hAnsi="Arial"/>
          <w:sz w:val="21"/>
        </w:rPr>
      </w:pPr>
      <w:r>
        <w:rPr>
          <w:rFonts w:ascii="Arial" w:hAnsi="Arial"/>
          <w:sz w:val="21"/>
        </w:rPr>
        <w:t xml:space="preserve">We have been </w:t>
      </w:r>
      <w:r w:rsidRPr="0067524D">
        <w:rPr>
          <w:rFonts w:ascii="Arial" w:hAnsi="Arial"/>
          <w:sz w:val="21"/>
        </w:rPr>
        <w:t>representing large groups of tenants at multiple local properties against improper actions by the</w:t>
      </w:r>
      <w:r>
        <w:rPr>
          <w:rFonts w:ascii="Arial" w:hAnsi="Arial"/>
          <w:sz w:val="21"/>
        </w:rPr>
        <w:t>ir respective</w:t>
      </w:r>
      <w:r w:rsidRPr="0067524D">
        <w:rPr>
          <w:rFonts w:ascii="Arial" w:hAnsi="Arial"/>
          <w:sz w:val="21"/>
        </w:rPr>
        <w:t xml:space="preserve"> landlord</w:t>
      </w:r>
      <w:r>
        <w:rPr>
          <w:rFonts w:ascii="Arial" w:hAnsi="Arial"/>
          <w:sz w:val="21"/>
        </w:rPr>
        <w:t>s.</w:t>
      </w:r>
      <w:r w:rsidR="00B3584C">
        <w:rPr>
          <w:rFonts w:ascii="Arial" w:hAnsi="Arial"/>
          <w:sz w:val="21"/>
        </w:rPr>
        <w:t xml:space="preserve"> </w:t>
      </w:r>
      <w:r>
        <w:rPr>
          <w:rFonts w:ascii="Arial" w:hAnsi="Arial"/>
          <w:sz w:val="21"/>
        </w:rPr>
        <w:t>For example, at two local properties</w:t>
      </w:r>
      <w:r w:rsidR="00267262">
        <w:rPr>
          <w:rFonts w:ascii="Arial" w:hAnsi="Arial"/>
          <w:sz w:val="21"/>
        </w:rPr>
        <w:t>,</w:t>
      </w:r>
      <w:r>
        <w:rPr>
          <w:rFonts w:ascii="Arial" w:hAnsi="Arial"/>
          <w:sz w:val="21"/>
        </w:rPr>
        <w:t xml:space="preserve"> we have been working </w:t>
      </w:r>
      <w:r w:rsidRPr="0067524D">
        <w:rPr>
          <w:rFonts w:ascii="Arial" w:hAnsi="Arial"/>
          <w:sz w:val="21"/>
        </w:rPr>
        <w:t xml:space="preserve">to defeat aggressive attempts to permanently displace </w:t>
      </w:r>
      <w:r>
        <w:rPr>
          <w:rFonts w:ascii="Arial" w:hAnsi="Arial"/>
          <w:sz w:val="21"/>
        </w:rPr>
        <w:t xml:space="preserve">our clients </w:t>
      </w:r>
      <w:r w:rsidRPr="0067524D">
        <w:rPr>
          <w:rFonts w:ascii="Arial" w:hAnsi="Arial"/>
          <w:sz w:val="21"/>
        </w:rPr>
        <w:t>through non-traditional means</w:t>
      </w:r>
      <w:r w:rsidR="00FA77C5">
        <w:rPr>
          <w:rFonts w:ascii="Arial" w:hAnsi="Arial"/>
          <w:sz w:val="21"/>
        </w:rPr>
        <w:t>:</w:t>
      </w:r>
      <w:r w:rsidR="00D601AE">
        <w:rPr>
          <w:rFonts w:ascii="Arial" w:hAnsi="Arial"/>
          <w:sz w:val="21"/>
        </w:rPr>
        <w:t xml:space="preserve"> </w:t>
      </w:r>
      <w:r w:rsidR="00FA77C5">
        <w:rPr>
          <w:rFonts w:ascii="Arial" w:hAnsi="Arial"/>
          <w:sz w:val="21"/>
        </w:rPr>
        <w:t>(</w:t>
      </w:r>
      <w:proofErr w:type="spellStart"/>
      <w:r w:rsidR="00FA77C5">
        <w:rPr>
          <w:rFonts w:ascii="Arial" w:hAnsi="Arial"/>
          <w:sz w:val="21"/>
        </w:rPr>
        <w:t>i</w:t>
      </w:r>
      <w:proofErr w:type="spellEnd"/>
      <w:r w:rsidR="00FA77C5">
        <w:rPr>
          <w:rFonts w:ascii="Arial" w:hAnsi="Arial"/>
          <w:sz w:val="21"/>
        </w:rPr>
        <w:t xml:space="preserve">) through declaratory relief actions challenging the terms of oral leases; and (ii) </w:t>
      </w:r>
      <w:r w:rsidR="00D601AE">
        <w:rPr>
          <w:rFonts w:ascii="Arial" w:hAnsi="Arial"/>
          <w:sz w:val="21"/>
        </w:rPr>
        <w:t xml:space="preserve">through unlawful detainers based on </w:t>
      </w:r>
      <w:r w:rsidR="00FA77C5">
        <w:rPr>
          <w:rFonts w:ascii="Arial" w:hAnsi="Arial"/>
          <w:sz w:val="21"/>
        </w:rPr>
        <w:t xml:space="preserve">alleged </w:t>
      </w:r>
      <w:r w:rsidR="00D601AE">
        <w:rPr>
          <w:rFonts w:ascii="Arial" w:hAnsi="Arial"/>
          <w:sz w:val="21"/>
        </w:rPr>
        <w:t>“nuisance” for tenants’ failure to relocate at the owner’s demand when the tenants were not legally required to do so</w:t>
      </w:r>
      <w:r>
        <w:rPr>
          <w:rFonts w:ascii="Arial" w:hAnsi="Arial"/>
          <w:sz w:val="21"/>
        </w:rPr>
        <w:t>.</w:t>
      </w:r>
      <w:r w:rsidRPr="0067524D">
        <w:rPr>
          <w:rFonts w:ascii="Arial" w:hAnsi="Arial"/>
          <w:sz w:val="21"/>
        </w:rPr>
        <w:t xml:space="preserve"> </w:t>
      </w:r>
      <w:r w:rsidR="00277140">
        <w:rPr>
          <w:rFonts w:ascii="Arial" w:hAnsi="Arial"/>
          <w:sz w:val="21"/>
        </w:rPr>
        <w:t>There have also been myriad issue</w:t>
      </w:r>
      <w:r w:rsidR="00267262">
        <w:rPr>
          <w:rFonts w:ascii="Arial" w:hAnsi="Arial"/>
          <w:sz w:val="21"/>
        </w:rPr>
        <w:t>s</w:t>
      </w:r>
      <w:r w:rsidR="00277140">
        <w:rPr>
          <w:rFonts w:ascii="Arial" w:hAnsi="Arial"/>
          <w:sz w:val="21"/>
        </w:rPr>
        <w:t xml:space="preserve"> of improper billing and record-keeping practices</w:t>
      </w:r>
      <w:r w:rsidR="00267262">
        <w:rPr>
          <w:rFonts w:ascii="Arial" w:hAnsi="Arial"/>
          <w:sz w:val="21"/>
        </w:rPr>
        <w:t>,</w:t>
      </w:r>
      <w:r w:rsidR="00277140">
        <w:rPr>
          <w:rFonts w:ascii="Arial" w:hAnsi="Arial"/>
          <w:sz w:val="21"/>
        </w:rPr>
        <w:t xml:space="preserve"> </w:t>
      </w:r>
      <w:r w:rsidR="00EA301E">
        <w:rPr>
          <w:rFonts w:ascii="Arial" w:hAnsi="Arial"/>
          <w:sz w:val="21"/>
        </w:rPr>
        <w:t>which we have been working to correct for these groups of tenants.</w:t>
      </w:r>
      <w:r w:rsidR="00B3584C">
        <w:rPr>
          <w:rFonts w:ascii="Arial" w:hAnsi="Arial"/>
          <w:sz w:val="21"/>
        </w:rPr>
        <w:t xml:space="preserve"> </w:t>
      </w:r>
      <w:r>
        <w:rPr>
          <w:rFonts w:ascii="Arial" w:hAnsi="Arial"/>
          <w:sz w:val="21"/>
        </w:rPr>
        <w:t>We have also been</w:t>
      </w:r>
      <w:r w:rsidRPr="0067524D">
        <w:rPr>
          <w:rFonts w:ascii="Arial" w:hAnsi="Arial"/>
          <w:sz w:val="21"/>
        </w:rPr>
        <w:t xml:space="preserve"> collaborating with C</w:t>
      </w:r>
      <w:r>
        <w:rPr>
          <w:rFonts w:ascii="Arial" w:hAnsi="Arial"/>
          <w:sz w:val="21"/>
        </w:rPr>
        <w:t>i</w:t>
      </w:r>
      <w:r w:rsidRPr="0067524D">
        <w:rPr>
          <w:rFonts w:ascii="Arial" w:hAnsi="Arial"/>
          <w:sz w:val="21"/>
        </w:rPr>
        <w:t>ty agencies</w:t>
      </w:r>
      <w:r>
        <w:rPr>
          <w:rFonts w:ascii="Arial" w:hAnsi="Arial"/>
          <w:sz w:val="21"/>
        </w:rPr>
        <w:t xml:space="preserve"> to combat these practices.</w:t>
      </w:r>
    </w:p>
    <w:p w14:paraId="18EBD660" w14:textId="77777777" w:rsidR="00747B08" w:rsidRPr="002374BD" w:rsidRDefault="00747B08" w:rsidP="002374BD">
      <w:pPr>
        <w:jc w:val="both"/>
        <w:rPr>
          <w:rFonts w:ascii="Arial" w:hAnsi="Arial"/>
          <w:sz w:val="21"/>
        </w:rPr>
      </w:pPr>
    </w:p>
    <w:p w14:paraId="4893CC14" w14:textId="7535F6A8" w:rsidR="009A01AA" w:rsidRPr="006119C8" w:rsidRDefault="009945B6" w:rsidP="00747B08">
      <w:pPr>
        <w:pStyle w:val="ListParagraph"/>
        <w:numPr>
          <w:ilvl w:val="0"/>
          <w:numId w:val="11"/>
        </w:numPr>
        <w:jc w:val="both"/>
        <w:rPr>
          <w:rFonts w:ascii="Arial" w:hAnsi="Arial"/>
          <w:sz w:val="21"/>
        </w:rPr>
      </w:pPr>
      <w:r>
        <w:rPr>
          <w:rFonts w:ascii="Arial" w:hAnsi="Arial"/>
          <w:sz w:val="21"/>
        </w:rPr>
        <w:t xml:space="preserve">During the reporting period, we brought back </w:t>
      </w:r>
      <w:r w:rsidR="0023005B">
        <w:rPr>
          <w:rFonts w:ascii="Arial" w:hAnsi="Arial"/>
          <w:sz w:val="21"/>
        </w:rPr>
        <w:t>our twice weekly night clinic to address housing issues faced by residents.</w:t>
      </w:r>
      <w:r w:rsidR="00B3584C">
        <w:rPr>
          <w:rFonts w:ascii="Arial" w:hAnsi="Arial"/>
          <w:sz w:val="21"/>
        </w:rPr>
        <w:t xml:space="preserve"> </w:t>
      </w:r>
      <w:r w:rsidR="0023005B">
        <w:rPr>
          <w:rFonts w:ascii="Arial" w:hAnsi="Arial"/>
          <w:sz w:val="21"/>
        </w:rPr>
        <w:t>The clinic was operated over Zoom with the help of law students from UCLA</w:t>
      </w:r>
      <w:r w:rsidR="00C17D94">
        <w:rPr>
          <w:rFonts w:ascii="Arial" w:hAnsi="Arial"/>
          <w:sz w:val="21"/>
        </w:rPr>
        <w:t>’s El Centro Legal.</w:t>
      </w:r>
      <w:r w:rsidR="00B3584C">
        <w:rPr>
          <w:rFonts w:ascii="Arial" w:hAnsi="Arial"/>
          <w:sz w:val="21"/>
        </w:rPr>
        <w:t xml:space="preserve"> </w:t>
      </w:r>
      <w:r w:rsidR="00747B08">
        <w:rPr>
          <w:rFonts w:ascii="Arial" w:hAnsi="Arial"/>
          <w:sz w:val="21"/>
        </w:rPr>
        <w:t xml:space="preserve">We </w:t>
      </w:r>
      <w:r w:rsidR="00C17D94">
        <w:rPr>
          <w:rFonts w:ascii="Arial" w:hAnsi="Arial"/>
          <w:sz w:val="21"/>
        </w:rPr>
        <w:t xml:space="preserve">also </w:t>
      </w:r>
      <w:r w:rsidR="00747B08">
        <w:rPr>
          <w:rFonts w:ascii="Arial" w:hAnsi="Arial"/>
          <w:sz w:val="21"/>
        </w:rPr>
        <w:t xml:space="preserve">continue to expand the reach of our </w:t>
      </w:r>
      <w:r w:rsidR="00C17D94">
        <w:rPr>
          <w:rFonts w:ascii="Arial" w:hAnsi="Arial"/>
          <w:sz w:val="21"/>
        </w:rPr>
        <w:t xml:space="preserve">other </w:t>
      </w:r>
      <w:r w:rsidR="00747B08">
        <w:rPr>
          <w:rFonts w:ascii="Arial" w:hAnsi="Arial"/>
          <w:sz w:val="21"/>
        </w:rPr>
        <w:t>online-based assistance using platforms such as Zoom to: (</w:t>
      </w:r>
      <w:proofErr w:type="spellStart"/>
      <w:r w:rsidR="00747B08">
        <w:rPr>
          <w:rFonts w:ascii="Arial" w:hAnsi="Arial"/>
          <w:sz w:val="21"/>
        </w:rPr>
        <w:t>i</w:t>
      </w:r>
      <w:proofErr w:type="spellEnd"/>
      <w:r w:rsidR="00747B08">
        <w:rPr>
          <w:rFonts w:ascii="Arial" w:hAnsi="Arial"/>
          <w:sz w:val="21"/>
        </w:rPr>
        <w:t xml:space="preserve">) reach more clients in their homes; and, (ii) participate in </w:t>
      </w:r>
      <w:r w:rsidR="00064821">
        <w:rPr>
          <w:rFonts w:ascii="Arial" w:hAnsi="Arial"/>
          <w:sz w:val="21"/>
        </w:rPr>
        <w:t>“</w:t>
      </w:r>
      <w:r w:rsidR="00747B08">
        <w:rPr>
          <w:rFonts w:ascii="Arial" w:hAnsi="Arial"/>
          <w:sz w:val="21"/>
        </w:rPr>
        <w:t>Know</w:t>
      </w:r>
      <w:r w:rsidR="00064821">
        <w:rPr>
          <w:rFonts w:ascii="Arial" w:hAnsi="Arial"/>
          <w:sz w:val="21"/>
        </w:rPr>
        <w:t xml:space="preserve"> </w:t>
      </w:r>
      <w:r w:rsidR="00747B08">
        <w:rPr>
          <w:rFonts w:ascii="Arial" w:hAnsi="Arial"/>
          <w:sz w:val="21"/>
        </w:rPr>
        <w:t>Your</w:t>
      </w:r>
      <w:r w:rsidR="00064821">
        <w:rPr>
          <w:rFonts w:ascii="Arial" w:hAnsi="Arial"/>
          <w:sz w:val="21"/>
        </w:rPr>
        <w:t xml:space="preserve"> </w:t>
      </w:r>
      <w:r w:rsidR="00747B08">
        <w:rPr>
          <w:rFonts w:ascii="Arial" w:hAnsi="Arial"/>
          <w:sz w:val="21"/>
        </w:rPr>
        <w:t>Rights</w:t>
      </w:r>
      <w:r w:rsidR="00064821">
        <w:rPr>
          <w:rFonts w:ascii="Arial" w:hAnsi="Arial"/>
          <w:sz w:val="21"/>
        </w:rPr>
        <w:t>”</w:t>
      </w:r>
      <w:r w:rsidR="00747B08">
        <w:rPr>
          <w:rFonts w:ascii="Arial" w:hAnsi="Arial"/>
          <w:sz w:val="21"/>
        </w:rPr>
        <w:t xml:space="preserve"> public education seminars for tenants affected by </w:t>
      </w:r>
      <w:r w:rsidR="00064821">
        <w:rPr>
          <w:rFonts w:ascii="Arial" w:hAnsi="Arial"/>
          <w:sz w:val="21"/>
        </w:rPr>
        <w:t>COVID</w:t>
      </w:r>
      <w:r w:rsidR="00747B08">
        <w:rPr>
          <w:rFonts w:ascii="Arial" w:hAnsi="Arial"/>
          <w:sz w:val="21"/>
        </w:rPr>
        <w:t>-19.</w:t>
      </w:r>
      <w:r w:rsidR="00B3584C">
        <w:rPr>
          <w:rFonts w:ascii="Arial" w:hAnsi="Arial"/>
          <w:sz w:val="21"/>
        </w:rPr>
        <w:t xml:space="preserve"> </w:t>
      </w:r>
      <w:r w:rsidR="00AB7776">
        <w:rPr>
          <w:rFonts w:ascii="Arial" w:hAnsi="Arial"/>
          <w:sz w:val="21"/>
        </w:rPr>
        <w:t xml:space="preserve">We are planning </w:t>
      </w:r>
      <w:r w:rsidR="009D4C58">
        <w:rPr>
          <w:rFonts w:ascii="Arial" w:hAnsi="Arial"/>
          <w:sz w:val="21"/>
        </w:rPr>
        <w:t xml:space="preserve">new presentations in the second half of the grant year as </w:t>
      </w:r>
      <w:r w:rsidR="00064821">
        <w:rPr>
          <w:rFonts w:ascii="Arial" w:hAnsi="Arial"/>
          <w:sz w:val="21"/>
        </w:rPr>
        <w:t>COVID</w:t>
      </w:r>
      <w:r w:rsidR="009D4C58">
        <w:rPr>
          <w:rFonts w:ascii="Arial" w:hAnsi="Arial"/>
          <w:sz w:val="21"/>
        </w:rPr>
        <w:t>-related protections for tenants continue to change and evolve.</w:t>
      </w:r>
    </w:p>
    <w:p w14:paraId="154E79E7" w14:textId="77777777" w:rsidR="00E26D0F" w:rsidRDefault="00E26D0F" w:rsidP="00925583">
      <w:pPr>
        <w:jc w:val="both"/>
        <w:rPr>
          <w:rFonts w:ascii="Arial" w:hAnsi="Arial"/>
          <w:sz w:val="21"/>
        </w:rPr>
      </w:pPr>
    </w:p>
    <w:p w14:paraId="7EA73D40" w14:textId="64A22621"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w:t>
      </w:r>
      <w:r w:rsidR="00B3584C">
        <w:rPr>
          <w:rFonts w:hint="eastAsia"/>
        </w:rPr>
        <w:t xml:space="preserve"> </w:t>
      </w:r>
      <w:r w:rsidRPr="00407667">
        <w:rPr>
          <w:rFonts w:hint="eastAsia"/>
        </w:rPr>
        <w:t>ASSESSMENT, EVALUATION AND PARTICIPANT INVOLVEMENT</w:t>
      </w:r>
    </w:p>
    <w:p w14:paraId="70E5B223" w14:textId="2AE62D08" w:rsidR="00D04539" w:rsidRPr="00520D32" w:rsidRDefault="00D04539" w:rsidP="00D04539">
      <w:pPr>
        <w:pStyle w:val="BodyText"/>
        <w:rPr>
          <w:b/>
          <w:bCs/>
          <w:i w:val="0"/>
          <w:sz w:val="21"/>
        </w:rPr>
      </w:pPr>
      <w:r w:rsidRPr="00520D32">
        <w:rPr>
          <w:rFonts w:hint="eastAsia"/>
          <w:b/>
          <w:bCs/>
          <w:i w:val="0"/>
          <w:sz w:val="21"/>
        </w:rPr>
        <w:t>Briefly describe or list any program assessment or evaluation</w:t>
      </w:r>
      <w:r w:rsidRPr="00520D32">
        <w:rPr>
          <w:b/>
          <w:bCs/>
          <w:i w:val="0"/>
          <w:sz w:val="21"/>
        </w:rPr>
        <w:t xml:space="preserve"> efforts during the reporting period and s</w:t>
      </w:r>
      <w:r w:rsidR="005F4D91" w:rsidRPr="00520D32">
        <w:rPr>
          <w:b/>
          <w:bCs/>
          <w:i w:val="0"/>
          <w:sz w:val="21"/>
        </w:rPr>
        <w:t xml:space="preserve">ummarize the results achieved. </w:t>
      </w:r>
      <w:r w:rsidRPr="00520D32">
        <w:rPr>
          <w:b/>
          <w:bCs/>
          <w:i w:val="0"/>
          <w:sz w:val="21"/>
        </w:rPr>
        <w:t>Specifically highlight any</w:t>
      </w:r>
      <w:r w:rsidRPr="00520D32">
        <w:rPr>
          <w:rFonts w:hint="eastAsia"/>
          <w:b/>
          <w:bCs/>
          <w:i w:val="0"/>
          <w:sz w:val="21"/>
        </w:rPr>
        <w:t xml:space="preserve"> program participant involvement</w:t>
      </w:r>
      <w:r w:rsidRPr="00520D32">
        <w:rPr>
          <w:b/>
          <w:bCs/>
          <w:i w:val="0"/>
          <w:sz w:val="21"/>
        </w:rPr>
        <w:t xml:space="preserve"> in these efforts</w:t>
      </w:r>
      <w:r w:rsidRPr="00520D32">
        <w:rPr>
          <w:rFonts w:hint="eastAsia"/>
          <w:b/>
          <w:bCs/>
          <w:i w:val="0"/>
          <w:sz w:val="21"/>
        </w:rPr>
        <w:t>.</w:t>
      </w:r>
      <w:r w:rsidR="00B3584C">
        <w:rPr>
          <w:b/>
          <w:bCs/>
          <w:i w:val="0"/>
          <w:sz w:val="21"/>
        </w:rPr>
        <w:t xml:space="preserve"> </w:t>
      </w:r>
    </w:p>
    <w:p w14:paraId="36EFEC84" w14:textId="688880F1" w:rsidR="00D04539" w:rsidRDefault="00D04539" w:rsidP="00D04539">
      <w:pPr>
        <w:pStyle w:val="BodyText"/>
        <w:rPr>
          <w:i w:val="0"/>
          <w:sz w:val="21"/>
        </w:rPr>
      </w:pPr>
    </w:p>
    <w:p w14:paraId="33603A66" w14:textId="04BA9272" w:rsidR="00B544AA" w:rsidRPr="009B6D5E" w:rsidRDefault="00B544AA" w:rsidP="00B544A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9B6D5E">
        <w:rPr>
          <w:rFonts w:ascii="Arial" w:hAnsi="Arial"/>
          <w:sz w:val="21"/>
        </w:rPr>
        <w:t>LAFLA regularly evaluates and measures outcomes for our clients to ensure that they are getting the best legal advice and representation possible. Evaluation processes start at the beginning when a client comes in for service</w:t>
      </w:r>
      <w:r w:rsidR="00064821">
        <w:rPr>
          <w:rFonts w:ascii="Arial" w:hAnsi="Arial"/>
          <w:sz w:val="21"/>
        </w:rPr>
        <w:t>,</w:t>
      </w:r>
      <w:r w:rsidRPr="009B6D5E">
        <w:rPr>
          <w:rFonts w:ascii="Arial" w:hAnsi="Arial"/>
          <w:sz w:val="21"/>
        </w:rPr>
        <w:t xml:space="preserve"> and the team reviews each application for services during a case review process. During representation, managers are available for consultation with staff attorneys and advocates to discuss case strategies and processes.</w:t>
      </w:r>
    </w:p>
    <w:p w14:paraId="0DAD29F5" w14:textId="77777777" w:rsidR="00B544AA" w:rsidRPr="009B6D5E" w:rsidRDefault="00B544AA" w:rsidP="00B544AA">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7C79E80" w14:textId="6FDA99F7" w:rsidR="00B544AA" w:rsidRPr="00F553A1" w:rsidRDefault="00B544AA" w:rsidP="00B544AA">
      <w:pPr>
        <w:pStyle w:val="BodyText"/>
        <w:rPr>
          <w:i w:val="0"/>
          <w:iCs w:val="0"/>
          <w:sz w:val="21"/>
        </w:rPr>
      </w:pPr>
      <w:r w:rsidRPr="00F553A1">
        <w:rPr>
          <w:i w:val="0"/>
          <w:iCs w:val="0"/>
          <w:sz w:val="21"/>
        </w:rPr>
        <w:t xml:space="preserve">To ensure that outcome measures are met, staff check court case files online to ascertain the results of court hearings and collect follow-up information directly from clients by phone or in-person interviews. Outcome results are tabulated and reviewed against program goals. LAFLA also monitors program staff by measuring progress and outcomes toward meeting the goals and objectives through </w:t>
      </w:r>
      <w:r w:rsidR="00064821" w:rsidRPr="00F553A1">
        <w:rPr>
          <w:i w:val="0"/>
          <w:iCs w:val="0"/>
          <w:sz w:val="21"/>
        </w:rPr>
        <w:t xml:space="preserve">case management </w:t>
      </w:r>
      <w:r w:rsidR="00064821">
        <w:rPr>
          <w:i w:val="0"/>
          <w:iCs w:val="0"/>
          <w:sz w:val="21"/>
        </w:rPr>
        <w:t>(</w:t>
      </w:r>
      <w:r w:rsidRPr="00F553A1">
        <w:rPr>
          <w:i w:val="0"/>
          <w:iCs w:val="0"/>
          <w:sz w:val="21"/>
        </w:rPr>
        <w:t>clients are tracked through LAFLA's computerized case management system to make sure that cases are resolved in a professional and timely manner</w:t>
      </w:r>
      <w:r w:rsidR="00064821">
        <w:rPr>
          <w:i w:val="0"/>
          <w:iCs w:val="0"/>
          <w:sz w:val="21"/>
        </w:rPr>
        <w:t>),</w:t>
      </w:r>
      <w:r w:rsidRPr="00F553A1">
        <w:rPr>
          <w:i w:val="0"/>
          <w:iCs w:val="0"/>
          <w:sz w:val="21"/>
        </w:rPr>
        <w:t xml:space="preserve"> </w:t>
      </w:r>
      <w:r w:rsidR="00064821" w:rsidRPr="00F553A1">
        <w:rPr>
          <w:i w:val="0"/>
          <w:iCs w:val="0"/>
          <w:sz w:val="21"/>
        </w:rPr>
        <w:t xml:space="preserve">statistical reporting </w:t>
      </w:r>
      <w:r w:rsidR="00064821">
        <w:rPr>
          <w:i w:val="0"/>
          <w:iCs w:val="0"/>
          <w:sz w:val="21"/>
        </w:rPr>
        <w:t>(</w:t>
      </w:r>
      <w:r w:rsidRPr="00F553A1">
        <w:rPr>
          <w:i w:val="0"/>
          <w:iCs w:val="0"/>
          <w:sz w:val="21"/>
        </w:rPr>
        <w:t>data is compiled on a quarterly basis to determine that we are serving the targeted number of clients</w:t>
      </w:r>
      <w:r w:rsidR="00064821">
        <w:rPr>
          <w:i w:val="0"/>
          <w:iCs w:val="0"/>
          <w:sz w:val="21"/>
        </w:rPr>
        <w:t>),</w:t>
      </w:r>
      <w:r w:rsidRPr="00F553A1">
        <w:rPr>
          <w:i w:val="0"/>
          <w:iCs w:val="0"/>
          <w:sz w:val="21"/>
        </w:rPr>
        <w:t xml:space="preserve"> and </w:t>
      </w:r>
      <w:r w:rsidR="00064821" w:rsidRPr="00F553A1">
        <w:rPr>
          <w:i w:val="0"/>
          <w:iCs w:val="0"/>
          <w:sz w:val="21"/>
        </w:rPr>
        <w:t xml:space="preserve">case review </w:t>
      </w:r>
      <w:r w:rsidR="00064821">
        <w:rPr>
          <w:i w:val="0"/>
          <w:iCs w:val="0"/>
          <w:sz w:val="21"/>
        </w:rPr>
        <w:t>(</w:t>
      </w:r>
      <w:r w:rsidRPr="00F553A1">
        <w:rPr>
          <w:i w:val="0"/>
          <w:iCs w:val="0"/>
          <w:sz w:val="21"/>
        </w:rPr>
        <w:t>bi-monthly case review meetings serve to monitor the status of open cases, identify problems as they arise, and facilitate interaction to ensure the most effective service to clients</w:t>
      </w:r>
      <w:r w:rsidR="00064821">
        <w:rPr>
          <w:i w:val="0"/>
          <w:iCs w:val="0"/>
          <w:sz w:val="21"/>
        </w:rPr>
        <w:t>)</w:t>
      </w:r>
      <w:r w:rsidRPr="00F553A1">
        <w:rPr>
          <w:i w:val="0"/>
          <w:iCs w:val="0"/>
          <w:sz w:val="21"/>
        </w:rPr>
        <w:t>. In some instances, staff may collect follow-up information directly from clients by phone or in-person interviews. We use data and field observations and make adjustments to the types of outreach and service delivery we engage in to improve client access and outcomes.</w:t>
      </w:r>
    </w:p>
    <w:p w14:paraId="67C60950" w14:textId="77777777" w:rsidR="00B544AA" w:rsidRDefault="00B544AA" w:rsidP="00D04539">
      <w:pPr>
        <w:pStyle w:val="BodyText"/>
        <w:rPr>
          <w:i w:val="0"/>
          <w:sz w:val="21"/>
        </w:rPr>
      </w:pPr>
    </w:p>
    <w:p w14:paraId="2D514AE9" w14:textId="77777777" w:rsidR="00D04539" w:rsidRPr="00F553A1" w:rsidRDefault="00D04539" w:rsidP="00D04539">
      <w:pPr>
        <w:pStyle w:val="BodyText"/>
        <w:rPr>
          <w:b/>
          <w:bCs/>
          <w:i w:val="0"/>
          <w:sz w:val="21"/>
        </w:rPr>
      </w:pPr>
      <w:r w:rsidRPr="00F553A1">
        <w:rPr>
          <w:b/>
          <w:bCs/>
          <w:i w:val="0"/>
          <w:sz w:val="21"/>
        </w:rPr>
        <w:t>Please highlight any new efforts to collaborate with other service provide</w:t>
      </w:r>
      <w:r w:rsidR="005F4D91" w:rsidRPr="00F553A1">
        <w:rPr>
          <w:b/>
          <w:bCs/>
          <w:i w:val="0"/>
          <w:sz w:val="21"/>
        </w:rPr>
        <w:t xml:space="preserve">rs and/or leverage services. </w:t>
      </w:r>
      <w:r w:rsidRPr="00F553A1">
        <w:rPr>
          <w:b/>
          <w:bCs/>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C15D501" w14:textId="77777777" w:rsidR="00B82E73" w:rsidRDefault="00B82E73" w:rsidP="00B82E73">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267E1F">
        <w:rPr>
          <w:rFonts w:ascii="Arial" w:hAnsi="Arial"/>
          <w:sz w:val="21"/>
        </w:rPr>
        <w:t>Despite the pandemic, LAFLA</w:t>
      </w:r>
      <w:r>
        <w:rPr>
          <w:rFonts w:ascii="Arial" w:hAnsi="Arial"/>
          <w:sz w:val="21"/>
        </w:rPr>
        <w:t>’s</w:t>
      </w:r>
      <w:r w:rsidRPr="00267E1F">
        <w:rPr>
          <w:rFonts w:ascii="Arial" w:hAnsi="Arial"/>
          <w:sz w:val="21"/>
        </w:rPr>
        <w:t xml:space="preserve"> Santa Monica office continues to work with </w:t>
      </w:r>
      <w:r>
        <w:rPr>
          <w:rFonts w:ascii="Arial" w:hAnsi="Arial"/>
          <w:sz w:val="21"/>
        </w:rPr>
        <w:t>other service providers to the benefit of program participants:</w:t>
      </w:r>
    </w:p>
    <w:p w14:paraId="2C9961F4" w14:textId="77777777" w:rsidR="00B82E73" w:rsidRDefault="00B82E73" w:rsidP="00B82E73">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34F9846" w14:textId="77777777" w:rsidR="00B82E73" w:rsidRPr="00AA5389" w:rsidRDefault="00B82E73" w:rsidP="00B82E73">
      <w:pPr>
        <w:pStyle w:val="ListParagraph"/>
        <w:numPr>
          <w:ilvl w:val="0"/>
          <w:numId w:val="10"/>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szCs w:val="21"/>
        </w:rPr>
      </w:pPr>
      <w:r w:rsidRPr="203B829E">
        <w:rPr>
          <w:rFonts w:ascii="Arial" w:hAnsi="Arial"/>
          <w:sz w:val="21"/>
          <w:szCs w:val="21"/>
        </w:rPr>
        <w:t>LAFLA regularly attends and participates in Santa Monica Cradle to Career meetings.</w:t>
      </w:r>
    </w:p>
    <w:p w14:paraId="6F91659B" w14:textId="5BB07518" w:rsidR="00B82E73" w:rsidRPr="00AA5389" w:rsidRDefault="00B82E73" w:rsidP="00B82E73">
      <w:pPr>
        <w:pStyle w:val="ListParagraph"/>
        <w:numPr>
          <w:ilvl w:val="0"/>
          <w:numId w:val="10"/>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szCs w:val="21"/>
        </w:rPr>
      </w:pPr>
      <w:r w:rsidRPr="203B829E">
        <w:rPr>
          <w:rFonts w:ascii="Arial" w:hAnsi="Arial"/>
          <w:sz w:val="21"/>
          <w:szCs w:val="21"/>
        </w:rPr>
        <w:t xml:space="preserve">LAFLA continues to maintain a strong relationship with the Santa Monica City Attorney’s Office, referring clients with appropriate issues and working in conjunction with the </w:t>
      </w:r>
      <w:r w:rsidR="00064821" w:rsidRPr="203B829E">
        <w:rPr>
          <w:rFonts w:ascii="Arial" w:hAnsi="Arial"/>
          <w:sz w:val="21"/>
          <w:szCs w:val="21"/>
        </w:rPr>
        <w:t xml:space="preserve">city attorney </w:t>
      </w:r>
      <w:r w:rsidRPr="203B829E">
        <w:rPr>
          <w:rFonts w:ascii="Arial" w:hAnsi="Arial"/>
          <w:sz w:val="21"/>
          <w:szCs w:val="21"/>
        </w:rPr>
        <w:t xml:space="preserve">on housing </w:t>
      </w:r>
      <w:r w:rsidRPr="203B829E">
        <w:rPr>
          <w:rFonts w:ascii="Arial" w:hAnsi="Arial"/>
          <w:sz w:val="21"/>
          <w:szCs w:val="21"/>
        </w:rPr>
        <w:lastRenderedPageBreak/>
        <w:t>issues.</w:t>
      </w:r>
      <w:r w:rsidR="00B3584C">
        <w:rPr>
          <w:rFonts w:ascii="Arial" w:hAnsi="Arial"/>
          <w:sz w:val="21"/>
          <w:szCs w:val="21"/>
        </w:rPr>
        <w:t xml:space="preserve"> </w:t>
      </w:r>
    </w:p>
    <w:p w14:paraId="37F3E3A5" w14:textId="77777777" w:rsidR="00B82E73" w:rsidRPr="00AA5389" w:rsidRDefault="00B82E73" w:rsidP="00B82E73">
      <w:pPr>
        <w:pStyle w:val="ListParagraph"/>
        <w:numPr>
          <w:ilvl w:val="0"/>
          <w:numId w:val="10"/>
        </w:num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szCs w:val="21"/>
        </w:rPr>
      </w:pPr>
      <w:r w:rsidRPr="203B829E">
        <w:rPr>
          <w:rFonts w:ascii="Arial" w:hAnsi="Arial"/>
          <w:sz w:val="21"/>
          <w:szCs w:val="21"/>
        </w:rPr>
        <w:t>LAFLA has coordinated with the City Attorney’s office on a number of issues, including a cooperative investigation into the business practices of a large local landlord on behalf of many of its low-income tenants, which is ongoing.</w:t>
      </w:r>
    </w:p>
    <w:p w14:paraId="2270FFFE" w14:textId="77777777" w:rsidR="00B82E73" w:rsidRPr="00AA5389" w:rsidRDefault="00B82E73" w:rsidP="00B82E73">
      <w:pPr>
        <w:pStyle w:val="ListParagraph"/>
        <w:numPr>
          <w:ilvl w:val="0"/>
          <w:numId w:val="1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jc w:val="both"/>
        <w:rPr>
          <w:rFonts w:ascii="Arial" w:hAnsi="Arial"/>
          <w:sz w:val="21"/>
        </w:rPr>
      </w:pPr>
      <w:r w:rsidRPr="00AA5389">
        <w:rPr>
          <w:rFonts w:ascii="Arial" w:hAnsi="Arial"/>
          <w:sz w:val="21"/>
        </w:rPr>
        <w:t>All housing attorneys in the Santa Monica office engage in regular meetings with the Santa Monica Housing Authority to advocate for clients.</w:t>
      </w:r>
    </w:p>
    <w:p w14:paraId="64197EF3" w14:textId="3AD9C0FB" w:rsidR="00B82E73" w:rsidRDefault="00B82E73" w:rsidP="00B82E73">
      <w:pPr>
        <w:pStyle w:val="ListParagraph"/>
        <w:numPr>
          <w:ilvl w:val="0"/>
          <w:numId w:val="1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240"/>
        <w:contextualSpacing w:val="0"/>
        <w:jc w:val="both"/>
        <w:rPr>
          <w:rFonts w:ascii="Arial" w:hAnsi="Arial"/>
          <w:sz w:val="21"/>
        </w:rPr>
      </w:pPr>
      <w:r w:rsidRPr="00AA5389">
        <w:rPr>
          <w:rFonts w:ascii="Arial" w:hAnsi="Arial"/>
          <w:sz w:val="21"/>
        </w:rPr>
        <w:t xml:space="preserve">Attorneys in the Santa Monica office are regular participants in </w:t>
      </w:r>
      <w:r w:rsidR="00064821" w:rsidRPr="00AA5389">
        <w:rPr>
          <w:rFonts w:ascii="Arial" w:hAnsi="Arial"/>
          <w:sz w:val="21"/>
        </w:rPr>
        <w:t xml:space="preserve">senior taskforce </w:t>
      </w:r>
      <w:r w:rsidRPr="00AA5389">
        <w:rPr>
          <w:rFonts w:ascii="Arial" w:hAnsi="Arial"/>
          <w:sz w:val="21"/>
        </w:rPr>
        <w:t>meetings with other local organizations and community partners.</w:t>
      </w:r>
    </w:p>
    <w:p w14:paraId="18E10185" w14:textId="1C310763" w:rsidR="00E26D0F" w:rsidRPr="000A60C5" w:rsidRDefault="00D5426A" w:rsidP="00D04539">
      <w:pPr>
        <w:pStyle w:val="ListParagraph"/>
        <w:numPr>
          <w:ilvl w:val="0"/>
          <w:numId w:val="10"/>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after="240"/>
        <w:contextualSpacing w:val="0"/>
        <w:jc w:val="both"/>
        <w:rPr>
          <w:rFonts w:ascii="Arial" w:hAnsi="Arial"/>
          <w:sz w:val="21"/>
        </w:rPr>
      </w:pPr>
      <w:r>
        <w:rPr>
          <w:rFonts w:ascii="Arial" w:hAnsi="Arial"/>
          <w:sz w:val="21"/>
        </w:rPr>
        <w:t xml:space="preserve">LAFLA </w:t>
      </w:r>
      <w:r w:rsidR="00506169">
        <w:rPr>
          <w:rFonts w:ascii="Arial" w:hAnsi="Arial"/>
          <w:sz w:val="21"/>
        </w:rPr>
        <w:t xml:space="preserve">resumed its twice weekly night clinic </w:t>
      </w:r>
      <w:r w:rsidR="00A64F91">
        <w:rPr>
          <w:rFonts w:ascii="Arial" w:hAnsi="Arial"/>
          <w:sz w:val="21"/>
        </w:rPr>
        <w:t>via Zoom through</w:t>
      </w:r>
      <w:r>
        <w:rPr>
          <w:rFonts w:ascii="Arial" w:hAnsi="Arial"/>
          <w:sz w:val="21"/>
        </w:rPr>
        <w:t xml:space="preserve"> its </w:t>
      </w:r>
      <w:r w:rsidR="005C5C91">
        <w:rPr>
          <w:rFonts w:ascii="Arial" w:hAnsi="Arial"/>
          <w:sz w:val="21"/>
        </w:rPr>
        <w:t>partnership with UCLA law s</w:t>
      </w:r>
      <w:r w:rsidR="00506169">
        <w:rPr>
          <w:rFonts w:ascii="Arial" w:hAnsi="Arial"/>
          <w:sz w:val="21"/>
        </w:rPr>
        <w:t>chool’s El Centro Legal</w:t>
      </w:r>
      <w:r w:rsidR="000A60C5">
        <w:rPr>
          <w:rFonts w:ascii="Arial" w:hAnsi="Arial"/>
          <w:sz w:val="21"/>
        </w:rPr>
        <w:t>, offering expanded hours and access to tenants seeking housing assistance.</w:t>
      </w: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Pr="00516817" w:rsidRDefault="00D04539" w:rsidP="00D04539">
      <w:pPr>
        <w:pStyle w:val="BodyText"/>
        <w:tabs>
          <w:tab w:val="clear" w:pos="-1080"/>
          <w:tab w:val="clear" w:pos="1980"/>
          <w:tab w:val="clear" w:pos="2520"/>
          <w:tab w:val="left" w:pos="-1440"/>
          <w:tab w:val="left" w:pos="1710"/>
          <w:tab w:val="left" w:pos="2880"/>
        </w:tabs>
        <w:rPr>
          <w:i w:val="0"/>
          <w:sz w:val="21"/>
        </w:rPr>
      </w:pPr>
      <w:r w:rsidRPr="00516817">
        <w:rPr>
          <w:rFonts w:hint="eastAsia"/>
          <w:i w:val="0"/>
          <w:sz w:val="21"/>
        </w:rPr>
        <w:t>Please indicate</w:t>
      </w:r>
      <w:r w:rsidRPr="00516817">
        <w:rPr>
          <w:i w:val="0"/>
          <w:sz w:val="21"/>
        </w:rPr>
        <w:t>:</w:t>
      </w:r>
    </w:p>
    <w:p w14:paraId="2707A7D3" w14:textId="33B8F167" w:rsidR="00D04539" w:rsidRPr="00516817"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516817">
        <w:rPr>
          <w:b/>
          <w:bCs/>
          <w:i w:val="0"/>
          <w:sz w:val="21"/>
        </w:rPr>
        <w:t xml:space="preserve">Number of </w:t>
      </w:r>
      <w:r w:rsidRPr="00516817">
        <w:rPr>
          <w:rFonts w:hint="eastAsia"/>
          <w:b/>
          <w:bCs/>
          <w:i w:val="0"/>
          <w:sz w:val="21"/>
        </w:rPr>
        <w:t>Board meetings conducted</w:t>
      </w:r>
      <w:r w:rsidRPr="00516817">
        <w:rPr>
          <w:b/>
          <w:bCs/>
          <w:i w:val="0"/>
          <w:sz w:val="21"/>
        </w:rPr>
        <w:t xml:space="preserve"> during the reporting period</w:t>
      </w:r>
      <w:r w:rsidR="009E4E1C" w:rsidRPr="00516817">
        <w:rPr>
          <w:b/>
          <w:bCs/>
          <w:i w:val="0"/>
          <w:sz w:val="21"/>
        </w:rPr>
        <w:t>:</w:t>
      </w:r>
      <w:r w:rsidR="0096252B" w:rsidRPr="00516817">
        <w:rPr>
          <w:i w:val="0"/>
          <w:sz w:val="21"/>
        </w:rPr>
        <w:t xml:space="preserve"> 3</w:t>
      </w:r>
    </w:p>
    <w:p w14:paraId="6BBE0166" w14:textId="3BBD8A4C" w:rsidR="00D04539" w:rsidRPr="00516817"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516817">
        <w:rPr>
          <w:b/>
          <w:bCs/>
          <w:i w:val="0"/>
          <w:sz w:val="21"/>
        </w:rPr>
        <w:t>A</w:t>
      </w:r>
      <w:r w:rsidRPr="00516817">
        <w:rPr>
          <w:rFonts w:hint="eastAsia"/>
          <w:b/>
          <w:bCs/>
          <w:i w:val="0"/>
          <w:sz w:val="21"/>
        </w:rPr>
        <w:t>verage Board member attendance</w:t>
      </w:r>
      <w:r w:rsidR="0096252B" w:rsidRPr="00516817">
        <w:rPr>
          <w:b/>
          <w:bCs/>
          <w:i w:val="0"/>
          <w:sz w:val="21"/>
        </w:rPr>
        <w:t>:</w:t>
      </w:r>
      <w:r w:rsidR="0096252B" w:rsidRPr="00516817">
        <w:rPr>
          <w:i w:val="0"/>
          <w:sz w:val="21"/>
        </w:rPr>
        <w:t xml:space="preserve"> </w:t>
      </w:r>
      <w:r w:rsidR="00773228" w:rsidRPr="00516817">
        <w:rPr>
          <w:i w:val="0"/>
          <w:sz w:val="21"/>
        </w:rPr>
        <w:t>25</w:t>
      </w:r>
    </w:p>
    <w:p w14:paraId="73488549" w14:textId="4849E3D3" w:rsidR="00D04539" w:rsidRPr="00516817" w:rsidRDefault="00D04539" w:rsidP="00872119">
      <w:pPr>
        <w:pStyle w:val="BodyText"/>
        <w:numPr>
          <w:ilvl w:val="0"/>
          <w:numId w:val="4"/>
        </w:numPr>
        <w:tabs>
          <w:tab w:val="clear" w:pos="-1080"/>
          <w:tab w:val="clear" w:pos="780"/>
          <w:tab w:val="clear" w:pos="1980"/>
          <w:tab w:val="clear" w:pos="2520"/>
          <w:tab w:val="left" w:pos="-1440"/>
          <w:tab w:val="num" w:pos="720"/>
          <w:tab w:val="left" w:pos="1710"/>
          <w:tab w:val="left" w:pos="2880"/>
        </w:tabs>
        <w:ind w:left="720" w:hanging="300"/>
        <w:rPr>
          <w:i w:val="0"/>
          <w:sz w:val="21"/>
        </w:rPr>
      </w:pPr>
      <w:r w:rsidRPr="00516817">
        <w:rPr>
          <w:b/>
          <w:bCs/>
          <w:i w:val="0"/>
          <w:sz w:val="21"/>
        </w:rPr>
        <w:t>Board development activities conducted during the reporting period</w:t>
      </w:r>
      <w:r w:rsidR="00562240" w:rsidRPr="00516817">
        <w:rPr>
          <w:b/>
          <w:bCs/>
          <w:i w:val="0"/>
          <w:sz w:val="21"/>
        </w:rPr>
        <w:t>:</w:t>
      </w:r>
      <w:r w:rsidR="00562240" w:rsidRPr="00516817">
        <w:rPr>
          <w:i w:val="0"/>
          <w:sz w:val="21"/>
        </w:rPr>
        <w:t xml:space="preserve"> </w:t>
      </w:r>
      <w:r w:rsidR="00872119" w:rsidRPr="00516817">
        <w:rPr>
          <w:i w:val="0"/>
          <w:sz w:val="21"/>
        </w:rPr>
        <w:t>The board continued to implement LAFLA’S 2019 to 2024 Strategic Plan and the goals identified therein.</w:t>
      </w:r>
      <w:r w:rsidR="00B3584C" w:rsidRPr="00516817">
        <w:rPr>
          <w:i w:val="0"/>
          <w:sz w:val="21"/>
        </w:rPr>
        <w:t xml:space="preserve"> </w:t>
      </w:r>
      <w:r w:rsidR="00F96C76" w:rsidRPr="00516817">
        <w:rPr>
          <w:i w:val="0"/>
          <w:sz w:val="21"/>
        </w:rPr>
        <w:t>The board also participated in the NLADA Virtual Conference in November 2021</w:t>
      </w:r>
      <w:r w:rsidR="009C7DE6">
        <w:rPr>
          <w:i w:val="0"/>
          <w:sz w:val="21"/>
        </w:rPr>
        <w:t>. The board is actively reviewing and updating LAFLA’s bylaws.</w:t>
      </w:r>
    </w:p>
    <w:p w14:paraId="402E3CA1" w14:textId="1FBBFF7C" w:rsidR="00D04539" w:rsidRPr="00516817" w:rsidRDefault="00D04539" w:rsidP="003A4638">
      <w:pPr>
        <w:pStyle w:val="BodyText"/>
        <w:numPr>
          <w:ilvl w:val="0"/>
          <w:numId w:val="4"/>
        </w:numPr>
        <w:tabs>
          <w:tab w:val="clear" w:pos="-1080"/>
          <w:tab w:val="clear" w:pos="780"/>
          <w:tab w:val="clear" w:pos="1980"/>
          <w:tab w:val="clear" w:pos="2520"/>
          <w:tab w:val="left" w:pos="-1440"/>
          <w:tab w:val="num" w:pos="720"/>
          <w:tab w:val="left" w:pos="1710"/>
          <w:tab w:val="left" w:pos="2880"/>
        </w:tabs>
        <w:ind w:left="720" w:hanging="300"/>
        <w:rPr>
          <w:i w:val="0"/>
          <w:sz w:val="21"/>
        </w:rPr>
      </w:pPr>
      <w:r w:rsidRPr="00516817">
        <w:rPr>
          <w:b/>
          <w:bCs/>
          <w:i w:val="0"/>
          <w:sz w:val="21"/>
        </w:rPr>
        <w:t>S</w:t>
      </w:r>
      <w:r w:rsidRPr="00516817">
        <w:rPr>
          <w:rFonts w:hint="eastAsia"/>
          <w:b/>
          <w:bCs/>
          <w:i w:val="0"/>
          <w:sz w:val="21"/>
        </w:rPr>
        <w:t>ignificant policy directions or actions taken by the Board during the reporting period</w:t>
      </w:r>
      <w:r w:rsidR="003A4638" w:rsidRPr="00516817">
        <w:rPr>
          <w:b/>
          <w:bCs/>
          <w:i w:val="0"/>
          <w:sz w:val="21"/>
        </w:rPr>
        <w:t>:</w:t>
      </w:r>
      <w:r w:rsidR="003A4638" w:rsidRPr="00516817">
        <w:rPr>
          <w:i w:val="0"/>
          <w:sz w:val="21"/>
        </w:rPr>
        <w:t xml:space="preserve"> </w:t>
      </w:r>
      <w:r w:rsidR="00082333" w:rsidRPr="00516817">
        <w:rPr>
          <w:i w:val="0"/>
          <w:sz w:val="21"/>
        </w:rPr>
        <w:t>The</w:t>
      </w:r>
      <w:r w:rsidR="007664D6" w:rsidRPr="00516817">
        <w:rPr>
          <w:i w:val="0"/>
          <w:sz w:val="21"/>
        </w:rPr>
        <w:t xml:space="preserve"> board worked on</w:t>
      </w:r>
      <w:r w:rsidR="00082333" w:rsidRPr="00516817">
        <w:rPr>
          <w:i w:val="0"/>
          <w:sz w:val="21"/>
        </w:rPr>
        <w:t xml:space="preserve"> </w:t>
      </w:r>
      <w:r w:rsidR="003A4638" w:rsidRPr="00516817">
        <w:rPr>
          <w:i w:val="0"/>
          <w:sz w:val="21"/>
        </w:rPr>
        <w:t xml:space="preserve">adopting </w:t>
      </w:r>
      <w:r w:rsidR="007664D6" w:rsidRPr="00516817">
        <w:rPr>
          <w:i w:val="0"/>
          <w:sz w:val="21"/>
        </w:rPr>
        <w:t xml:space="preserve">the </w:t>
      </w:r>
      <w:r w:rsidR="003A4638" w:rsidRPr="00516817">
        <w:rPr>
          <w:i w:val="0"/>
          <w:sz w:val="21"/>
        </w:rPr>
        <w:t>2022 budget</w:t>
      </w:r>
      <w:r w:rsidR="009C7DE6">
        <w:rPr>
          <w:i w:val="0"/>
          <w:sz w:val="21"/>
        </w:rPr>
        <w:t xml:space="preserve"> and</w:t>
      </w:r>
      <w:r w:rsidR="003A4638" w:rsidRPr="00516817">
        <w:rPr>
          <w:i w:val="0"/>
          <w:sz w:val="21"/>
        </w:rPr>
        <w:t xml:space="preserve"> </w:t>
      </w:r>
      <w:r w:rsidR="000570B9" w:rsidRPr="00516817">
        <w:rPr>
          <w:i w:val="0"/>
          <w:sz w:val="21"/>
        </w:rPr>
        <w:t xml:space="preserve">determining </w:t>
      </w:r>
      <w:r w:rsidR="003A4638" w:rsidRPr="00516817">
        <w:rPr>
          <w:i w:val="0"/>
          <w:sz w:val="21"/>
        </w:rPr>
        <w:t>program priorities</w:t>
      </w:r>
      <w:r w:rsidR="009C7DE6">
        <w:rPr>
          <w:i w:val="0"/>
          <w:sz w:val="21"/>
        </w:rPr>
        <w:t>. In addition, the board</w:t>
      </w:r>
      <w:r w:rsidR="003A4638" w:rsidRPr="00516817">
        <w:rPr>
          <w:i w:val="0"/>
          <w:sz w:val="21"/>
        </w:rPr>
        <w:t xml:space="preserve"> </w:t>
      </w:r>
      <w:r w:rsidR="0045793A" w:rsidRPr="00516817">
        <w:rPr>
          <w:i w:val="0"/>
          <w:sz w:val="21"/>
        </w:rPr>
        <w:t>adopt</w:t>
      </w:r>
      <w:r w:rsidR="009C7DE6">
        <w:rPr>
          <w:i w:val="0"/>
          <w:sz w:val="21"/>
        </w:rPr>
        <w:t>ed</w:t>
      </w:r>
      <w:r w:rsidR="0045793A" w:rsidRPr="00516817">
        <w:rPr>
          <w:i w:val="0"/>
          <w:sz w:val="21"/>
        </w:rPr>
        <w:t xml:space="preserve"> a </w:t>
      </w:r>
      <w:r w:rsidR="003A4638" w:rsidRPr="00516817">
        <w:rPr>
          <w:i w:val="0"/>
          <w:sz w:val="21"/>
        </w:rPr>
        <w:t>certificate of integrity and renew</w:t>
      </w:r>
      <w:r w:rsidR="0045793A" w:rsidRPr="00516817">
        <w:rPr>
          <w:i w:val="0"/>
          <w:sz w:val="21"/>
        </w:rPr>
        <w:t>ed</w:t>
      </w:r>
      <w:r w:rsidR="003A4638" w:rsidRPr="00516817">
        <w:rPr>
          <w:i w:val="0"/>
          <w:sz w:val="21"/>
        </w:rPr>
        <w:t>/extend</w:t>
      </w:r>
      <w:r w:rsidR="0045793A" w:rsidRPr="00516817">
        <w:rPr>
          <w:i w:val="0"/>
          <w:sz w:val="21"/>
        </w:rPr>
        <w:t>ed</w:t>
      </w:r>
      <w:r w:rsidR="00D922FF" w:rsidRPr="00516817">
        <w:rPr>
          <w:i w:val="0"/>
          <w:sz w:val="21"/>
        </w:rPr>
        <w:t xml:space="preserve"> its</w:t>
      </w:r>
      <w:r w:rsidR="003A4638" w:rsidRPr="00516817">
        <w:rPr>
          <w:i w:val="0"/>
          <w:sz w:val="21"/>
        </w:rPr>
        <w:t xml:space="preserve"> ACH Line with </w:t>
      </w:r>
      <w:r w:rsidR="00D922FF" w:rsidRPr="00516817">
        <w:rPr>
          <w:i w:val="0"/>
          <w:sz w:val="21"/>
        </w:rPr>
        <w:t xml:space="preserve">its </w:t>
      </w:r>
      <w:r w:rsidR="003A4638" w:rsidRPr="00516817">
        <w:rPr>
          <w:i w:val="0"/>
          <w:sz w:val="21"/>
        </w:rPr>
        <w:t>financial institution</w:t>
      </w:r>
      <w:r w:rsidR="00D922FF" w:rsidRPr="00516817">
        <w:rPr>
          <w:i w:val="0"/>
          <w:sz w:val="21"/>
        </w:rPr>
        <w:t>.</w:t>
      </w:r>
      <w:r w:rsidR="00344F0A">
        <w:rPr>
          <w:i w:val="0"/>
          <w:sz w:val="21"/>
        </w:rPr>
        <w:t xml:space="preserve"> The board also elected new officers and renewed board members’ terms.</w:t>
      </w:r>
      <w:r w:rsidR="009C7DE6">
        <w:rPr>
          <w:i w:val="0"/>
          <w:sz w:val="21"/>
        </w:rPr>
        <w:t xml:space="preserve"> </w:t>
      </w:r>
      <w:r w:rsidR="00344F0A">
        <w:rPr>
          <w:i w:val="0"/>
          <w:sz w:val="21"/>
        </w:rPr>
        <w:t>Finally, t</w:t>
      </w:r>
      <w:r w:rsidR="009C7DE6">
        <w:rPr>
          <w:i w:val="0"/>
          <w:sz w:val="21"/>
        </w:rPr>
        <w:t>he board approved a conflict of interest policy; an allocation</w:t>
      </w:r>
      <w:r w:rsidR="00344F0A">
        <w:rPr>
          <w:i w:val="0"/>
          <w:sz w:val="21"/>
        </w:rPr>
        <w:t xml:space="preserve"> to</w:t>
      </w:r>
      <w:r w:rsidR="009C7DE6">
        <w:rPr>
          <w:i w:val="0"/>
          <w:sz w:val="21"/>
        </w:rPr>
        <w:t xml:space="preserve"> </w:t>
      </w:r>
      <w:r w:rsidR="00344F0A" w:rsidRPr="00344F0A">
        <w:rPr>
          <w:i w:val="0"/>
          <w:sz w:val="21"/>
        </w:rPr>
        <w:t>LAFLA</w:t>
      </w:r>
      <w:r w:rsidR="00344F0A">
        <w:rPr>
          <w:i w:val="0"/>
          <w:sz w:val="21"/>
        </w:rPr>
        <w:t>’s</w:t>
      </w:r>
      <w:r w:rsidR="00344F0A" w:rsidRPr="00344F0A">
        <w:rPr>
          <w:i w:val="0"/>
          <w:sz w:val="21"/>
        </w:rPr>
        <w:t xml:space="preserve"> Equity &amp; Inclusion Fellowship</w:t>
      </w:r>
      <w:r w:rsidR="009C7DE6">
        <w:rPr>
          <w:i w:val="0"/>
          <w:sz w:val="21"/>
        </w:rPr>
        <w:t xml:space="preserve"> education assistance program; </w:t>
      </w:r>
      <w:r w:rsidR="00344F0A">
        <w:rPr>
          <w:i w:val="0"/>
          <w:sz w:val="21"/>
        </w:rPr>
        <w:t xml:space="preserve">a PAI plan; and </w:t>
      </w:r>
      <w:r w:rsidR="009C7DE6">
        <w:rPr>
          <w:i w:val="0"/>
          <w:sz w:val="21"/>
        </w:rPr>
        <w:t xml:space="preserve">resolution to annual bank authorizations, signers, and lines of credit and investment authorization; </w:t>
      </w:r>
    </w:p>
    <w:p w14:paraId="48D8B0BF" w14:textId="03740D0A" w:rsidR="00D04539" w:rsidRPr="00516817" w:rsidRDefault="00D04539" w:rsidP="00D04539">
      <w:pPr>
        <w:pStyle w:val="BodyText"/>
        <w:numPr>
          <w:ilvl w:val="0"/>
          <w:numId w:val="4"/>
        </w:numPr>
        <w:tabs>
          <w:tab w:val="clear" w:pos="-1080"/>
          <w:tab w:val="clear" w:pos="1980"/>
          <w:tab w:val="clear" w:pos="2520"/>
          <w:tab w:val="left" w:pos="-1440"/>
          <w:tab w:val="left" w:pos="1710"/>
          <w:tab w:val="left" w:pos="2880"/>
        </w:tabs>
        <w:rPr>
          <w:i w:val="0"/>
          <w:sz w:val="21"/>
        </w:rPr>
      </w:pPr>
      <w:r w:rsidRPr="00516817">
        <w:rPr>
          <w:b/>
          <w:bCs/>
          <w:i w:val="0"/>
          <w:sz w:val="21"/>
        </w:rPr>
        <w:t>Number of board members who reside and/or work in Santa Monica</w:t>
      </w:r>
      <w:r w:rsidR="001D1490" w:rsidRPr="00516817">
        <w:rPr>
          <w:b/>
          <w:bCs/>
          <w:i w:val="0"/>
          <w:sz w:val="21"/>
        </w:rPr>
        <w:t>:</w:t>
      </w:r>
      <w:r w:rsidR="001D1490" w:rsidRPr="00516817">
        <w:rPr>
          <w:i w:val="0"/>
          <w:sz w:val="21"/>
        </w:rPr>
        <w:t xml:space="preserve"> </w:t>
      </w:r>
      <w:r w:rsidR="00082333" w:rsidRPr="00516817">
        <w:rPr>
          <w:i w:val="0"/>
          <w:sz w:val="21"/>
        </w:rPr>
        <w:t>1</w:t>
      </w:r>
    </w:p>
    <w:p w14:paraId="2DBDFBB7" w14:textId="2039DEA0" w:rsidR="009A01AA" w:rsidRPr="00D922FF" w:rsidRDefault="00D04539" w:rsidP="00D04539">
      <w:pPr>
        <w:pStyle w:val="BodyText"/>
        <w:numPr>
          <w:ilvl w:val="0"/>
          <w:numId w:val="4"/>
        </w:numPr>
        <w:tabs>
          <w:tab w:val="clear" w:pos="-1080"/>
          <w:tab w:val="clear" w:pos="780"/>
          <w:tab w:val="clear" w:pos="1980"/>
          <w:tab w:val="clear" w:pos="2520"/>
          <w:tab w:val="left" w:pos="-1440"/>
          <w:tab w:val="num" w:pos="720"/>
          <w:tab w:val="left" w:pos="1710"/>
          <w:tab w:val="left" w:pos="2880"/>
        </w:tabs>
        <w:ind w:left="720" w:hanging="300"/>
        <w:rPr>
          <w:i w:val="0"/>
          <w:sz w:val="21"/>
        </w:rPr>
      </w:pPr>
      <w:r w:rsidRPr="00516817">
        <w:rPr>
          <w:rFonts w:hint="eastAsia"/>
          <w:b/>
          <w:bCs/>
          <w:i w:val="0"/>
          <w:sz w:val="21"/>
        </w:rPr>
        <w:t>Board vacancies and plans to fill those vacancies</w:t>
      </w:r>
      <w:r w:rsidRPr="00516817">
        <w:rPr>
          <w:b/>
          <w:bCs/>
          <w:i w:val="0"/>
          <w:sz w:val="21"/>
        </w:rPr>
        <w:t>, if applicable</w:t>
      </w:r>
      <w:r w:rsidR="003C590F" w:rsidRPr="00516817">
        <w:rPr>
          <w:b/>
          <w:bCs/>
          <w:i w:val="0"/>
          <w:sz w:val="21"/>
        </w:rPr>
        <w:t>:</w:t>
      </w:r>
      <w:r w:rsidR="003C590F" w:rsidRPr="00516817">
        <w:rPr>
          <w:i w:val="0"/>
          <w:sz w:val="21"/>
        </w:rPr>
        <w:t xml:space="preserve"> LAFLA has one vacancy for a client board member. The governance committee of the board is developing a plan to recruit a new board member; diversity will be at the center of the board’s outreach.</w:t>
      </w: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5D3ACB1" w:rsidR="00D04539" w:rsidRPr="00520D32" w:rsidRDefault="00D04539" w:rsidP="00D04539">
      <w:pPr>
        <w:pStyle w:val="BodyText"/>
        <w:tabs>
          <w:tab w:val="clear" w:pos="-1080"/>
          <w:tab w:val="clear" w:pos="1980"/>
          <w:tab w:val="clear" w:pos="2520"/>
          <w:tab w:val="left" w:pos="-1440"/>
          <w:tab w:val="left" w:pos="1710"/>
          <w:tab w:val="left" w:pos="2880"/>
        </w:tabs>
        <w:rPr>
          <w:b/>
          <w:bCs/>
          <w:i w:val="0"/>
          <w:sz w:val="21"/>
        </w:rPr>
      </w:pPr>
      <w:r w:rsidRPr="00520D32">
        <w:rPr>
          <w:rFonts w:hint="eastAsia"/>
          <w:b/>
          <w:bCs/>
          <w:i w:val="0"/>
          <w:sz w:val="21"/>
        </w:rPr>
        <w:t>Have there been any staffing changes during the reporting period (i.e.</w:t>
      </w:r>
      <w:r w:rsidR="007D3B4E" w:rsidRPr="00520D32">
        <w:rPr>
          <w:b/>
          <w:bCs/>
          <w:i w:val="0"/>
          <w:sz w:val="21"/>
        </w:rPr>
        <w:t>,</w:t>
      </w:r>
      <w:r w:rsidRPr="00520D32">
        <w:rPr>
          <w:rFonts w:hint="eastAsia"/>
          <w:b/>
          <w:bCs/>
          <w:i w:val="0"/>
          <w:sz w:val="21"/>
        </w:rPr>
        <w:t xml:space="preserve"> staff vacancies, </w:t>
      </w:r>
      <w:r w:rsidR="007D3B4E" w:rsidRPr="00520D32">
        <w:rPr>
          <w:rFonts w:hint="eastAsia"/>
          <w:b/>
          <w:bCs/>
          <w:i w:val="0"/>
          <w:sz w:val="21"/>
        </w:rPr>
        <w:t>staff recruitment, changes in FTE</w:t>
      </w:r>
      <w:r w:rsidR="009A01AA" w:rsidRPr="00520D32">
        <w:rPr>
          <w:rFonts w:hint="eastAsia"/>
          <w:b/>
          <w:bCs/>
          <w:i w:val="0"/>
          <w:sz w:val="21"/>
        </w:rPr>
        <w:t xml:space="preserve">)? Please describe. </w:t>
      </w:r>
      <w:r w:rsidRPr="00520D32">
        <w:rPr>
          <w:rFonts w:hint="eastAsia"/>
          <w:b/>
          <w:bCs/>
          <w:i w:val="0"/>
          <w:sz w:val="21"/>
        </w:rPr>
        <w:t xml:space="preserve">If staff vacancies exist, please provide an </w:t>
      </w:r>
      <w:r w:rsidR="006A4CFF" w:rsidRPr="00520D32">
        <w:rPr>
          <w:b/>
          <w:bCs/>
          <w:i w:val="0"/>
          <w:sz w:val="21"/>
        </w:rPr>
        <w:t>anticipated</w:t>
      </w:r>
      <w:r w:rsidRPr="00520D32">
        <w:rPr>
          <w:rFonts w:hint="eastAsia"/>
          <w:b/>
          <w:bCs/>
          <w:i w:val="0"/>
          <w:sz w:val="21"/>
        </w:rPr>
        <w:t xml:space="preserve"> hiring date</w:t>
      </w:r>
      <w:r w:rsidRPr="00520D32">
        <w:rPr>
          <w:b/>
          <w:bCs/>
          <w:i w:val="0"/>
          <w:sz w:val="21"/>
        </w:rPr>
        <w:t xml:space="preserve"> and </w:t>
      </w:r>
      <w:r w:rsidR="009A01AA" w:rsidRPr="00520D32">
        <w:rPr>
          <w:b/>
          <w:bCs/>
          <w:i w:val="0"/>
          <w:sz w:val="21"/>
        </w:rPr>
        <w:t>explain how caseloads and work have</w:t>
      </w:r>
      <w:r w:rsidRPr="00520D32">
        <w:rPr>
          <w:b/>
          <w:bCs/>
          <w:i w:val="0"/>
          <w:sz w:val="21"/>
        </w:rPr>
        <w:t xml:space="preserve"> been distributed to ensure service levels are maintained</w:t>
      </w:r>
      <w:r w:rsidRPr="00520D32">
        <w:rPr>
          <w:rFonts w:hint="eastAsia"/>
          <w:b/>
          <w:bCs/>
          <w:i w:val="0"/>
          <w:sz w:val="21"/>
        </w:rPr>
        <w:t>.</w:t>
      </w:r>
      <w:r w:rsidR="00B3584C">
        <w:rPr>
          <w:rFonts w:hint="eastAsia"/>
          <w:b/>
          <w:bCs/>
          <w:i w:val="0"/>
          <w:sz w:val="21"/>
        </w:rPr>
        <w:t xml:space="preserve">  </w:t>
      </w:r>
    </w:p>
    <w:p w14:paraId="170F02C7" w14:textId="72F546EB"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6AE929E" w14:textId="695CFE28" w:rsidR="00520D32" w:rsidRDefault="00855A60"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During the reporting period</w:t>
      </w:r>
      <w:r w:rsidR="00064821">
        <w:rPr>
          <w:rFonts w:ascii="Arial" w:hAnsi="Arial"/>
          <w:sz w:val="21"/>
        </w:rPr>
        <w:t>,</w:t>
      </w:r>
      <w:r>
        <w:rPr>
          <w:rFonts w:ascii="Arial" w:hAnsi="Arial"/>
          <w:sz w:val="21"/>
        </w:rPr>
        <w:t xml:space="preserve"> there were no </w:t>
      </w:r>
      <w:r w:rsidR="00B829C8">
        <w:rPr>
          <w:rFonts w:ascii="Arial" w:hAnsi="Arial"/>
          <w:sz w:val="21"/>
        </w:rPr>
        <w:t xml:space="preserve">permanent </w:t>
      </w:r>
      <w:r>
        <w:rPr>
          <w:rFonts w:ascii="Arial" w:hAnsi="Arial"/>
          <w:sz w:val="21"/>
        </w:rPr>
        <w:t xml:space="preserve">changes in </w:t>
      </w:r>
      <w:r w:rsidR="00F51FBC">
        <w:rPr>
          <w:rFonts w:ascii="Arial" w:hAnsi="Arial"/>
          <w:sz w:val="21"/>
        </w:rPr>
        <w:t xml:space="preserve">attorney </w:t>
      </w:r>
      <w:r>
        <w:rPr>
          <w:rFonts w:ascii="Arial" w:hAnsi="Arial"/>
          <w:sz w:val="21"/>
        </w:rPr>
        <w:t>staffing</w:t>
      </w:r>
      <w:r w:rsidR="00F51FBC">
        <w:rPr>
          <w:rFonts w:ascii="Arial" w:hAnsi="Arial"/>
          <w:sz w:val="21"/>
        </w:rPr>
        <w:t>.</w:t>
      </w:r>
      <w:r w:rsidR="00B3584C">
        <w:rPr>
          <w:rFonts w:ascii="Arial" w:hAnsi="Arial"/>
          <w:sz w:val="21"/>
        </w:rPr>
        <w:t xml:space="preserve"> </w:t>
      </w:r>
      <w:r w:rsidR="00B829C8">
        <w:rPr>
          <w:rFonts w:ascii="Arial" w:hAnsi="Arial"/>
          <w:sz w:val="21"/>
        </w:rPr>
        <w:t xml:space="preserve">However, for the last two months of the period, </w:t>
      </w:r>
      <w:r w:rsidR="00430DF4">
        <w:rPr>
          <w:rFonts w:ascii="Arial" w:hAnsi="Arial"/>
          <w:sz w:val="21"/>
        </w:rPr>
        <w:t>one of the two full-time housing attorneys took an extended leave.</w:t>
      </w:r>
      <w:r w:rsidR="00B3584C">
        <w:rPr>
          <w:rFonts w:ascii="Arial" w:hAnsi="Arial"/>
          <w:sz w:val="21"/>
        </w:rPr>
        <w:t xml:space="preserve"> </w:t>
      </w:r>
      <w:r w:rsidR="00430DF4">
        <w:rPr>
          <w:rFonts w:ascii="Arial" w:hAnsi="Arial"/>
          <w:sz w:val="21"/>
        </w:rPr>
        <w:t xml:space="preserve">We expect that attorney </w:t>
      </w:r>
      <w:r w:rsidR="00064821">
        <w:rPr>
          <w:rFonts w:ascii="Arial" w:hAnsi="Arial"/>
          <w:sz w:val="21"/>
        </w:rPr>
        <w:t xml:space="preserve">to </w:t>
      </w:r>
      <w:r w:rsidR="00430DF4">
        <w:rPr>
          <w:rFonts w:ascii="Arial" w:hAnsi="Arial"/>
          <w:sz w:val="21"/>
        </w:rPr>
        <w:t>return in October 2022.</w:t>
      </w:r>
      <w:r w:rsidR="00B3584C">
        <w:rPr>
          <w:rFonts w:ascii="Arial" w:hAnsi="Arial"/>
          <w:sz w:val="21"/>
        </w:rPr>
        <w:t xml:space="preserve"> </w:t>
      </w:r>
      <w:r w:rsidR="00EA5826">
        <w:rPr>
          <w:rFonts w:ascii="Arial" w:hAnsi="Arial"/>
          <w:sz w:val="21"/>
        </w:rPr>
        <w:t>Another provisional attorney took two weeks during the reporting period for bar study.</w:t>
      </w:r>
      <w:r w:rsidR="00B3584C">
        <w:rPr>
          <w:rFonts w:ascii="Arial" w:hAnsi="Arial"/>
          <w:sz w:val="21"/>
        </w:rPr>
        <w:t xml:space="preserve">  </w:t>
      </w:r>
    </w:p>
    <w:p w14:paraId="314E2DB2" w14:textId="77777777" w:rsidR="00520D32" w:rsidRDefault="00520D32"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26BE6BE2" w:rsidR="00D04539" w:rsidRPr="00520D32" w:rsidRDefault="00D04539" w:rsidP="00D04539">
      <w:pPr>
        <w:pStyle w:val="BodyText"/>
        <w:tabs>
          <w:tab w:val="clear" w:pos="-1080"/>
          <w:tab w:val="clear" w:pos="1980"/>
          <w:tab w:val="clear" w:pos="2520"/>
          <w:tab w:val="left" w:pos="-1440"/>
          <w:tab w:val="left" w:pos="1710"/>
          <w:tab w:val="left" w:pos="2880"/>
        </w:tabs>
        <w:rPr>
          <w:b/>
          <w:bCs/>
          <w:i w:val="0"/>
          <w:sz w:val="21"/>
        </w:rPr>
      </w:pPr>
      <w:r w:rsidRPr="00520D32">
        <w:rPr>
          <w:rFonts w:hint="eastAsia"/>
          <w:b/>
          <w:bCs/>
          <w:i w:val="0"/>
          <w:sz w:val="21"/>
        </w:rPr>
        <w:t xml:space="preserve">Please indicate how volunteers or </w:t>
      </w:r>
      <w:r w:rsidRPr="00520D32">
        <w:rPr>
          <w:b/>
          <w:bCs/>
          <w:i w:val="0"/>
          <w:sz w:val="21"/>
        </w:rPr>
        <w:t xml:space="preserve">paid or unpaid </w:t>
      </w:r>
      <w:r w:rsidRPr="00520D32">
        <w:rPr>
          <w:rFonts w:hint="eastAsia"/>
          <w:b/>
          <w:bCs/>
          <w:i w:val="0"/>
          <w:sz w:val="21"/>
        </w:rPr>
        <w:t>interns were used during the reporting period.</w:t>
      </w:r>
      <w:r w:rsidR="00B3584C">
        <w:rPr>
          <w:rFonts w:hint="eastAsia"/>
          <w:b/>
          <w:bCs/>
          <w:i w:val="0"/>
          <w:sz w:val="21"/>
        </w:rPr>
        <w:t xml:space="preserve"> </w:t>
      </w:r>
      <w:r w:rsidRPr="00520D32">
        <w:rPr>
          <w:rFonts w:hint="eastAsia"/>
          <w:b/>
          <w:bCs/>
          <w:i w:val="0"/>
          <w:sz w:val="21"/>
        </w:rPr>
        <w:t>Provide the total number of volunteers or interns and hours provi</w:t>
      </w:r>
      <w:r w:rsidR="009A01AA" w:rsidRPr="00520D32">
        <w:rPr>
          <w:rFonts w:hint="eastAsia"/>
          <w:b/>
          <w:bCs/>
          <w:i w:val="0"/>
          <w:sz w:val="21"/>
        </w:rPr>
        <w:t>ded.</w:t>
      </w:r>
      <w:r w:rsidRPr="00520D32">
        <w:rPr>
          <w:rFonts w:hint="eastAsia"/>
          <w:b/>
          <w:bCs/>
          <w:i w:val="0"/>
          <w:sz w:val="21"/>
        </w:rPr>
        <w:t xml:space="preserve"> If interns were used, please indicate </w:t>
      </w:r>
      <w:r w:rsidRPr="00520D32">
        <w:rPr>
          <w:b/>
          <w:bCs/>
          <w:i w:val="0"/>
          <w:sz w:val="21"/>
        </w:rPr>
        <w:t>their</w:t>
      </w:r>
      <w:r w:rsidRPr="00520D32">
        <w:rPr>
          <w:rFonts w:hint="eastAsia"/>
          <w:b/>
          <w:bCs/>
          <w:i w:val="0"/>
          <w:sz w:val="21"/>
        </w:rPr>
        <w:t xml:space="preserve"> </w:t>
      </w:r>
      <w:r w:rsidRPr="00520D32">
        <w:rPr>
          <w:b/>
          <w:bCs/>
          <w:i w:val="0"/>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DFFFC70" w14:textId="1C8C4411" w:rsidR="00E26D0F" w:rsidRDefault="00A921B8" w:rsidP="5C752590">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bCs/>
          <w:sz w:val="21"/>
          <w:szCs w:val="21"/>
          <w:u w:val="single"/>
        </w:rPr>
      </w:pPr>
      <w:r>
        <w:rPr>
          <w:rFonts w:ascii="Arial" w:hAnsi="Arial"/>
          <w:sz w:val="21"/>
          <w:szCs w:val="21"/>
        </w:rPr>
        <w:t xml:space="preserve">LAFLA had a total of </w:t>
      </w:r>
      <w:r w:rsidR="00BF070F">
        <w:rPr>
          <w:rFonts w:ascii="Arial" w:hAnsi="Arial"/>
          <w:sz w:val="21"/>
          <w:szCs w:val="21"/>
        </w:rPr>
        <w:t>4</w:t>
      </w:r>
      <w:r>
        <w:rPr>
          <w:rFonts w:ascii="Arial" w:hAnsi="Arial"/>
          <w:sz w:val="21"/>
          <w:szCs w:val="21"/>
        </w:rPr>
        <w:t xml:space="preserve"> law clerks </w:t>
      </w:r>
      <w:r w:rsidR="00C555F2">
        <w:rPr>
          <w:rFonts w:ascii="Arial" w:hAnsi="Arial"/>
          <w:sz w:val="21"/>
          <w:szCs w:val="21"/>
        </w:rPr>
        <w:t xml:space="preserve">and </w:t>
      </w:r>
      <w:r w:rsidR="00FE6A3F">
        <w:rPr>
          <w:rFonts w:ascii="Arial" w:hAnsi="Arial"/>
          <w:sz w:val="21"/>
          <w:szCs w:val="21"/>
        </w:rPr>
        <w:t xml:space="preserve">24 law students donate time </w:t>
      </w:r>
      <w:r>
        <w:rPr>
          <w:rFonts w:ascii="Arial" w:hAnsi="Arial"/>
          <w:sz w:val="21"/>
          <w:szCs w:val="21"/>
        </w:rPr>
        <w:t xml:space="preserve">during the reporting period for a total of </w:t>
      </w:r>
      <w:r w:rsidR="00EE11B9">
        <w:rPr>
          <w:rFonts w:ascii="Arial" w:hAnsi="Arial"/>
          <w:sz w:val="21"/>
          <w:szCs w:val="21"/>
        </w:rPr>
        <w:t>5</w:t>
      </w:r>
      <w:r w:rsidR="00FE6A3F">
        <w:rPr>
          <w:rFonts w:ascii="Arial" w:hAnsi="Arial"/>
          <w:sz w:val="21"/>
          <w:szCs w:val="21"/>
        </w:rPr>
        <w:t>3</w:t>
      </w:r>
      <w:r w:rsidR="00EE11B9">
        <w:rPr>
          <w:rFonts w:ascii="Arial" w:hAnsi="Arial"/>
          <w:sz w:val="21"/>
          <w:szCs w:val="21"/>
        </w:rPr>
        <w:t>6</w:t>
      </w:r>
      <w:r w:rsidR="00A25194">
        <w:rPr>
          <w:rFonts w:ascii="Arial" w:hAnsi="Arial"/>
          <w:sz w:val="21"/>
          <w:szCs w:val="21"/>
        </w:rPr>
        <w:t>.8</w:t>
      </w:r>
      <w:r>
        <w:rPr>
          <w:rFonts w:ascii="Arial" w:hAnsi="Arial"/>
          <w:sz w:val="21"/>
          <w:szCs w:val="21"/>
        </w:rPr>
        <w:t xml:space="preserve"> unpaid hours</w:t>
      </w:r>
      <w:r w:rsidR="00EA6F4E">
        <w:rPr>
          <w:rFonts w:ascii="Arial" w:hAnsi="Arial"/>
          <w:sz w:val="21"/>
          <w:szCs w:val="21"/>
        </w:rPr>
        <w:t xml:space="preserve"> toward the General Office grant</w:t>
      </w:r>
      <w:r>
        <w:rPr>
          <w:rFonts w:ascii="Arial" w:hAnsi="Arial"/>
          <w:sz w:val="21"/>
          <w:szCs w:val="21"/>
        </w:rPr>
        <w:t>.</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5E71D62E" w14:textId="758B3F72"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66641C7" w14:textId="77777777" w:rsidR="007E0F6C"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BF6519A" w14:textId="77777777" w:rsidR="007E0F6C" w:rsidRPr="00E66340" w:rsidRDefault="007E0F6C" w:rsidP="00F04E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jc w:val="both"/>
        <w:rPr>
          <w:rFonts w:ascii="Arial" w:hAnsi="Arial"/>
          <w:i/>
          <w:iCs/>
          <w:sz w:val="21"/>
          <w:u w:val="single"/>
        </w:rPr>
      </w:pPr>
      <w:r w:rsidRPr="00E66340">
        <w:rPr>
          <w:rFonts w:ascii="Arial" w:hAnsi="Arial"/>
          <w:i/>
          <w:iCs/>
          <w:sz w:val="21"/>
          <w:u w:val="single"/>
        </w:rPr>
        <w:lastRenderedPageBreak/>
        <w:t>Standard Funding Conditions</w:t>
      </w:r>
    </w:p>
    <w:p w14:paraId="23A54069"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Pr>
          <w:rFonts w:ascii="Arial" w:hAnsi="Arial"/>
          <w:i/>
          <w:iCs/>
          <w:sz w:val="21"/>
        </w:rPr>
        <w:t xml:space="preserve">1) </w:t>
      </w:r>
      <w:r w:rsidRPr="00186EDE">
        <w:rPr>
          <w:rFonts w:ascii="Arial" w:hAnsi="Arial"/>
          <w:i/>
          <w:iCs/>
          <w:sz w:val="21"/>
        </w:rPr>
        <w:t>Participate in the City’s efforts to develop an outcomes measurement system to better track human services program demographics and outcomes. Participation may include, but is not limited to: meeting with City staff, consultants, and; providing information regarding current data systems, technology infrastructure,</w:t>
      </w:r>
      <w:r>
        <w:rPr>
          <w:rFonts w:ascii="Arial" w:hAnsi="Arial"/>
          <w:i/>
          <w:iCs/>
          <w:sz w:val="21"/>
        </w:rPr>
        <w:t xml:space="preserve"> </w:t>
      </w:r>
      <w:r w:rsidRPr="00186EDE">
        <w:rPr>
          <w:rFonts w:ascii="Arial" w:hAnsi="Arial"/>
          <w:i/>
          <w:iCs/>
          <w:sz w:val="21"/>
        </w:rPr>
        <w:t xml:space="preserve">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p>
    <w:p w14:paraId="15A4D038" w14:textId="32669875"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 has supported the City’s efforts to develop an outcomes measurement system in various ways. LAFLA reports bi-annually on its client demographics and deliverables and has provided additional data to help in outcome development. As operations have migrated to remote services, LAFLA has continued to meet virtually with the </w:t>
      </w:r>
      <w:r w:rsidR="00303F4A">
        <w:rPr>
          <w:rFonts w:ascii="Arial" w:hAnsi="Arial"/>
          <w:sz w:val="21"/>
        </w:rPr>
        <w:t>c</w:t>
      </w:r>
      <w:r w:rsidRPr="00E66340">
        <w:rPr>
          <w:rFonts w:ascii="Arial" w:hAnsi="Arial"/>
          <w:sz w:val="21"/>
        </w:rPr>
        <w:t>ity to discuss program outcomes.</w:t>
      </w:r>
      <w:r w:rsidR="00303F4A">
        <w:rPr>
          <w:rFonts w:ascii="Arial" w:hAnsi="Arial"/>
          <w:sz w:val="21"/>
        </w:rPr>
        <w:t xml:space="preserve"> </w:t>
      </w:r>
      <w:r w:rsidR="002A7B01">
        <w:rPr>
          <w:rFonts w:ascii="Arial" w:hAnsi="Arial"/>
          <w:sz w:val="21"/>
        </w:rPr>
        <w:t xml:space="preserve">LAFLA has also provided </w:t>
      </w:r>
      <w:r w:rsidR="00797FE8">
        <w:rPr>
          <w:rFonts w:ascii="Arial" w:hAnsi="Arial"/>
          <w:sz w:val="21"/>
        </w:rPr>
        <w:t>de-identified information when requested.</w:t>
      </w:r>
    </w:p>
    <w:p w14:paraId="6ED4A02D"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E11C226"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E66340">
        <w:rPr>
          <w:rFonts w:ascii="Arial" w:hAnsi="Arial"/>
          <w:i/>
          <w:iCs/>
          <w:sz w:val="21"/>
        </w:rPr>
        <w:t>2) Detail steps taken to provide services in adherence to the safety protocols related to the COVID-19 pandemic, including modifications to service delivery, physical infrastructure and safety equipment and protocols to protect participants and staff.</w:t>
      </w:r>
    </w:p>
    <w:p w14:paraId="3A5229E9" w14:textId="441BD47A"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Due to the</w:t>
      </w:r>
      <w:r>
        <w:rPr>
          <w:rFonts w:ascii="Arial" w:hAnsi="Arial"/>
          <w:sz w:val="21"/>
        </w:rPr>
        <w:t xml:space="preserve"> </w:t>
      </w:r>
      <w:r w:rsidRPr="00E66340">
        <w:rPr>
          <w:rFonts w:ascii="Arial" w:hAnsi="Arial"/>
          <w:sz w:val="21"/>
        </w:rPr>
        <w:t xml:space="preserve">COVID-19 </w:t>
      </w:r>
      <w:r>
        <w:rPr>
          <w:rFonts w:ascii="Arial" w:hAnsi="Arial"/>
          <w:sz w:val="21"/>
        </w:rPr>
        <w:t>pandemic</w:t>
      </w:r>
      <w:r w:rsidRPr="00E66340">
        <w:rPr>
          <w:rFonts w:ascii="Arial" w:hAnsi="Arial"/>
          <w:sz w:val="21"/>
        </w:rPr>
        <w:t xml:space="preserve">, LAFLA has implemented preventative measures to protect the health of </w:t>
      </w:r>
      <w:r w:rsidR="00287623">
        <w:rPr>
          <w:rFonts w:ascii="Arial" w:hAnsi="Arial"/>
          <w:sz w:val="21"/>
        </w:rPr>
        <w:t>its</w:t>
      </w:r>
      <w:r w:rsidR="00287623" w:rsidRPr="00E66340">
        <w:rPr>
          <w:rFonts w:ascii="Arial" w:hAnsi="Arial"/>
          <w:sz w:val="21"/>
        </w:rPr>
        <w:t xml:space="preserve"> </w:t>
      </w:r>
      <w:r w:rsidRPr="00E66340">
        <w:rPr>
          <w:rFonts w:ascii="Arial" w:hAnsi="Arial"/>
          <w:sz w:val="21"/>
        </w:rPr>
        <w:t xml:space="preserve">clients, visitors, and staff. In response to recommendations of local government officials, LAFLA’s physical offices </w:t>
      </w:r>
      <w:r w:rsidR="005757D5">
        <w:rPr>
          <w:rFonts w:ascii="Arial" w:hAnsi="Arial"/>
          <w:sz w:val="21"/>
        </w:rPr>
        <w:t xml:space="preserve">were </w:t>
      </w:r>
      <w:r w:rsidRPr="00E66340">
        <w:rPr>
          <w:rFonts w:ascii="Arial" w:hAnsi="Arial"/>
          <w:sz w:val="21"/>
        </w:rPr>
        <w:t>closed in March 2020</w:t>
      </w:r>
      <w:r w:rsidR="005757D5">
        <w:rPr>
          <w:rFonts w:ascii="Arial" w:hAnsi="Arial"/>
          <w:sz w:val="21"/>
        </w:rPr>
        <w:t>. In October 2021, we opened our doors twice weekly to walk-in and in person clients for the first time since the pandemic began</w:t>
      </w:r>
      <w:r w:rsidRPr="00E66340">
        <w:rPr>
          <w:rFonts w:ascii="Arial" w:hAnsi="Arial"/>
          <w:sz w:val="21"/>
        </w:rPr>
        <w:t xml:space="preserve">. </w:t>
      </w:r>
      <w:r w:rsidR="002226DB">
        <w:rPr>
          <w:rFonts w:ascii="Arial" w:hAnsi="Arial"/>
          <w:sz w:val="21"/>
        </w:rPr>
        <w:t>Unfortunately, because of the surge in COVID-19 cases, we closed again for a portion of the winter.</w:t>
      </w:r>
      <w:r w:rsidR="00B3584C">
        <w:rPr>
          <w:rFonts w:ascii="Arial" w:hAnsi="Arial"/>
          <w:sz w:val="21"/>
        </w:rPr>
        <w:t xml:space="preserve"> </w:t>
      </w:r>
      <w:r w:rsidR="002226DB">
        <w:rPr>
          <w:rFonts w:ascii="Arial" w:hAnsi="Arial"/>
          <w:sz w:val="21"/>
        </w:rPr>
        <w:t>However, in March 2022, we returned to full</w:t>
      </w:r>
      <w:r w:rsidR="00287623">
        <w:rPr>
          <w:rFonts w:ascii="Arial" w:hAnsi="Arial"/>
          <w:sz w:val="21"/>
        </w:rPr>
        <w:t>-</w:t>
      </w:r>
      <w:r w:rsidR="002226DB">
        <w:rPr>
          <w:rFonts w:ascii="Arial" w:hAnsi="Arial"/>
          <w:sz w:val="21"/>
        </w:rPr>
        <w:t>time office hours five days a week.</w:t>
      </w:r>
      <w:r w:rsidR="00B3584C">
        <w:rPr>
          <w:rFonts w:ascii="Arial" w:hAnsi="Arial"/>
          <w:sz w:val="21"/>
        </w:rPr>
        <w:t xml:space="preserve"> </w:t>
      </w:r>
      <w:r w:rsidR="00145F6C">
        <w:rPr>
          <w:rFonts w:ascii="Arial" w:hAnsi="Arial"/>
          <w:sz w:val="21"/>
        </w:rPr>
        <w:t>Masks are required by all staff and clients in LAFLA offices</w:t>
      </w:r>
      <w:r w:rsidR="00C07774">
        <w:rPr>
          <w:rFonts w:ascii="Arial" w:hAnsi="Arial"/>
          <w:sz w:val="21"/>
        </w:rPr>
        <w:t xml:space="preserve">, and supplies are available for clients who need </w:t>
      </w:r>
      <w:r w:rsidR="00287623">
        <w:rPr>
          <w:rFonts w:ascii="Arial" w:hAnsi="Arial"/>
          <w:sz w:val="21"/>
        </w:rPr>
        <w:t>p</w:t>
      </w:r>
      <w:r w:rsidR="00287623" w:rsidRPr="00287623">
        <w:rPr>
          <w:rFonts w:ascii="Arial" w:hAnsi="Arial"/>
          <w:sz w:val="21"/>
        </w:rPr>
        <w:t>ersonal protective equipment</w:t>
      </w:r>
      <w:r w:rsidR="00C07774">
        <w:rPr>
          <w:rFonts w:ascii="Arial" w:hAnsi="Arial"/>
          <w:sz w:val="21"/>
        </w:rPr>
        <w:t xml:space="preserve"> to enter.</w:t>
      </w:r>
    </w:p>
    <w:p w14:paraId="7D1E9E17"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AA3DF61" w14:textId="7AB335F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In response to the closure of our offices, we extended </w:t>
      </w:r>
      <w:r w:rsidR="00287623" w:rsidRPr="00E66340">
        <w:rPr>
          <w:rFonts w:ascii="Arial" w:hAnsi="Arial"/>
          <w:sz w:val="21"/>
        </w:rPr>
        <w:t xml:space="preserve">call center </w:t>
      </w:r>
      <w:r w:rsidRPr="00E66340">
        <w:rPr>
          <w:rFonts w:ascii="Arial" w:hAnsi="Arial"/>
          <w:sz w:val="21"/>
        </w:rPr>
        <w:t xml:space="preserve">hours to accommodate increased streams of calls. Our courthouse-based domestic violence clinics have seamlessly transitioned to providing assistance with restraining orders by phone on Mondays, Wednesdays, and Fridays from 9 a.m.–12 p.m. and 1–3 p.m. Attorneys continue to prepare pleadings for litigants and to assist with the filing of documents. In addition, we have transitioned many of our outreach activities to virtual platforms such as Facebook Live and YouTube. </w:t>
      </w:r>
      <w:r w:rsidR="00287623">
        <w:rPr>
          <w:rFonts w:ascii="Arial" w:hAnsi="Arial"/>
          <w:sz w:val="21"/>
        </w:rPr>
        <w:t>Virtual outreach</w:t>
      </w:r>
      <w:r w:rsidR="00287623" w:rsidRPr="00E66340">
        <w:rPr>
          <w:rFonts w:ascii="Arial" w:hAnsi="Arial"/>
          <w:sz w:val="21"/>
        </w:rPr>
        <w:t xml:space="preserve"> </w:t>
      </w:r>
      <w:r w:rsidRPr="00E66340">
        <w:rPr>
          <w:rFonts w:ascii="Arial" w:hAnsi="Arial"/>
          <w:sz w:val="21"/>
        </w:rPr>
        <w:t>has allowed us to reach a wide audience and is something we plan to continue even after in-person services resume.</w:t>
      </w:r>
    </w:p>
    <w:p w14:paraId="1BBD4C01"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8198BF1"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E66340">
        <w:rPr>
          <w:rFonts w:ascii="Arial" w:hAnsi="Arial"/>
          <w:i/>
          <w:iCs/>
          <w:sz w:val="21"/>
        </w:rPr>
        <w:t>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w:t>
      </w:r>
    </w:p>
    <w:p w14:paraId="171A84A1"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E66340">
        <w:rPr>
          <w:rFonts w:ascii="Arial" w:hAnsi="Arial"/>
          <w:i/>
          <w:iCs/>
          <w:sz w:val="21"/>
        </w:rPr>
        <w:t>board members (agency-wide), executive management (agency-wide), and supervisory staff (City-funded programs) including race, ethnicity and gender.</w:t>
      </w:r>
    </w:p>
    <w:p w14:paraId="6F5ED36D" w14:textId="7F407F30"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LAFLA has a highly developed cultural sensitivity to serve clients from the many different populations represented in Los Angeles. LAFLA has built-in capacity to tailor presentations given to community groups and translate written material into the key languages anticipated for the audiences.</w:t>
      </w:r>
      <w:r w:rsidR="00B3584C">
        <w:rPr>
          <w:rFonts w:ascii="Arial" w:hAnsi="Arial"/>
          <w:sz w:val="21"/>
        </w:rPr>
        <w:t xml:space="preserve"> </w:t>
      </w:r>
      <w:r w:rsidRPr="00E66340">
        <w:rPr>
          <w:rFonts w:ascii="Arial" w:hAnsi="Arial"/>
          <w:sz w:val="21"/>
        </w:rPr>
        <w:t>LAFLA devotes significant resources to working with non-English speaking clients. LAFLA staff members speak Spanish (more than 50%), Farsi, Mandarin, Cantonese, Korean, Tagalog, Vietnamese, Persian, Japanese, Khmer, Gujarati, Bengali, French, and German.</w:t>
      </w:r>
    </w:p>
    <w:p w14:paraId="23E1EC9E"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3F3228" w14:textId="5B985C58"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All of LAFLA’s offices are staffed with bilingual Spanish speaking receptionists and intake screeners, and LAFLA also operates Asian language hotlines in Mandarin, Cantonese, Korean, Vietnamese, Japanese, and Khmer. Bilingual staff are formally tested and receive supplements for their oral and/or written language skills.</w:t>
      </w:r>
      <w:r w:rsidR="00B3584C">
        <w:rPr>
          <w:rFonts w:ascii="Arial" w:hAnsi="Arial"/>
          <w:sz w:val="21"/>
        </w:rPr>
        <w:t xml:space="preserve"> </w:t>
      </w:r>
      <w:r w:rsidRPr="00E66340">
        <w:rPr>
          <w:rFonts w:ascii="Arial" w:hAnsi="Arial"/>
          <w:sz w:val="21"/>
        </w:rPr>
        <w:t>If other languages are needed, LAFLA staff are mandated by our internal protocols to obtain comprehensive translation and interpretative services immediately in order to provide the same level of quality services to all clients regardless of language. LAFLA also ensures that if needs cannot be met with properly trained staff, LAFLA will contract with outside interpreters to provide appropriate language services to LEP, deaf, and hard of hearing individuals. Assistive technology and other accommodations will be made for individuals with disabilities.</w:t>
      </w:r>
      <w:r w:rsidR="00B3584C">
        <w:rPr>
          <w:rFonts w:ascii="Arial" w:hAnsi="Arial"/>
          <w:sz w:val="21"/>
        </w:rPr>
        <w:t xml:space="preserve"> </w:t>
      </w:r>
      <w:r w:rsidRPr="00E66340">
        <w:rPr>
          <w:rFonts w:ascii="Arial" w:hAnsi="Arial"/>
          <w:sz w:val="21"/>
        </w:rPr>
        <w:t xml:space="preserve">We also utilize language line when necessary. To bolster our commitment to the LEP population, LAFLA employs </w:t>
      </w:r>
      <w:r w:rsidR="002C75B6" w:rsidRPr="00E66340">
        <w:rPr>
          <w:rFonts w:ascii="Arial" w:hAnsi="Arial"/>
          <w:sz w:val="21"/>
        </w:rPr>
        <w:t>special counsel on language access</w:t>
      </w:r>
      <w:r w:rsidRPr="00E66340">
        <w:rPr>
          <w:rFonts w:ascii="Arial" w:hAnsi="Arial"/>
          <w:sz w:val="21"/>
        </w:rPr>
        <w:t>.</w:t>
      </w:r>
    </w:p>
    <w:p w14:paraId="6C73EA51"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F111B3" w14:textId="752DA1A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LAFLA's commitment to diversity is reflected in its </w:t>
      </w:r>
      <w:r w:rsidR="002C75B6" w:rsidRPr="00E66340">
        <w:rPr>
          <w:rFonts w:ascii="Arial" w:hAnsi="Arial"/>
          <w:sz w:val="21"/>
        </w:rPr>
        <w:t>b</w:t>
      </w:r>
      <w:r w:rsidRPr="00E66340">
        <w:rPr>
          <w:rFonts w:ascii="Arial" w:hAnsi="Arial"/>
          <w:sz w:val="21"/>
        </w:rPr>
        <w:t xml:space="preserve">oard and staff. LAFLA’s </w:t>
      </w:r>
      <w:r w:rsidR="002C75B6" w:rsidRPr="00E66340">
        <w:rPr>
          <w:rFonts w:ascii="Arial" w:hAnsi="Arial"/>
          <w:sz w:val="21"/>
        </w:rPr>
        <w:t>board of directors</w:t>
      </w:r>
      <w:r w:rsidRPr="00E66340">
        <w:rPr>
          <w:rFonts w:ascii="Arial" w:hAnsi="Arial"/>
          <w:sz w:val="21"/>
        </w:rPr>
        <w:t xml:space="preserve"> includes several female and minority attorneys and a full and active community </w:t>
      </w:r>
      <w:r w:rsidR="008F213C">
        <w:rPr>
          <w:rFonts w:ascii="Arial" w:hAnsi="Arial"/>
          <w:sz w:val="21"/>
        </w:rPr>
        <w:t>board, which is</w:t>
      </w:r>
      <w:r w:rsidR="008F213C" w:rsidRPr="00E66340">
        <w:rPr>
          <w:rFonts w:ascii="Arial" w:hAnsi="Arial"/>
          <w:sz w:val="21"/>
        </w:rPr>
        <w:t xml:space="preserve"> </w:t>
      </w:r>
      <w:r w:rsidRPr="00E66340">
        <w:rPr>
          <w:rFonts w:ascii="Arial" w:hAnsi="Arial"/>
          <w:sz w:val="21"/>
        </w:rPr>
        <w:t xml:space="preserve">representative of the geographic, racial, ethnic, age and gender diversity of the </w:t>
      </w:r>
      <w:r>
        <w:rPr>
          <w:rFonts w:ascii="Arial" w:hAnsi="Arial"/>
          <w:sz w:val="21"/>
        </w:rPr>
        <w:t>low-income</w:t>
      </w:r>
      <w:r w:rsidRPr="00E66340">
        <w:rPr>
          <w:rFonts w:ascii="Arial" w:hAnsi="Arial"/>
          <w:sz w:val="21"/>
        </w:rPr>
        <w:t xml:space="preserve"> and minority communities LAFLA serves. Our </w:t>
      </w:r>
      <w:r w:rsidR="002C75B6" w:rsidRPr="00E66340">
        <w:rPr>
          <w:rFonts w:ascii="Arial" w:hAnsi="Arial"/>
          <w:sz w:val="21"/>
        </w:rPr>
        <w:t>board governance committee is looking at board composition together with the executive committee to ensure that our board</w:t>
      </w:r>
      <w:r w:rsidRPr="00E66340">
        <w:rPr>
          <w:rFonts w:ascii="Arial" w:hAnsi="Arial"/>
          <w:sz w:val="21"/>
        </w:rPr>
        <w:t xml:space="preserve"> </w:t>
      </w:r>
      <w:r w:rsidR="00BE0BAE">
        <w:rPr>
          <w:rFonts w:ascii="Arial" w:hAnsi="Arial"/>
          <w:sz w:val="21"/>
        </w:rPr>
        <w:t xml:space="preserve">better </w:t>
      </w:r>
      <w:r w:rsidRPr="00E66340">
        <w:rPr>
          <w:rFonts w:ascii="Arial" w:hAnsi="Arial"/>
          <w:sz w:val="21"/>
        </w:rPr>
        <w:t xml:space="preserve">reflects the demographics of our service area. Likewise, LAFLA’s recruitment and hiring procedures have been developed to both recruit and retain a diverse staff. </w:t>
      </w:r>
    </w:p>
    <w:p w14:paraId="7C40C5A2" w14:textId="77777777" w:rsidR="007E0F6C"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BEACE3D"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bookmarkStart w:id="0" w:name="_Hlk110001090"/>
      <w:r w:rsidRPr="00516817">
        <w:rPr>
          <w:rFonts w:ascii="Arial" w:hAnsi="Arial"/>
          <w:sz w:val="21"/>
        </w:rPr>
        <w:t>Board of directors composition:</w:t>
      </w:r>
    </w:p>
    <w:p w14:paraId="59F6D3B3" w14:textId="65C639E2"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4</w:t>
      </w:r>
      <w:r w:rsidR="00344F0A">
        <w:rPr>
          <w:rFonts w:ascii="Arial" w:hAnsi="Arial"/>
          <w:sz w:val="21"/>
        </w:rPr>
        <w:t>4</w:t>
      </w:r>
      <w:r w:rsidRPr="00516817">
        <w:rPr>
          <w:rFonts w:ascii="Arial" w:hAnsi="Arial"/>
          <w:sz w:val="21"/>
        </w:rPr>
        <w:t xml:space="preserve"> members (</w:t>
      </w:r>
      <w:r w:rsidR="00344F0A">
        <w:rPr>
          <w:rFonts w:ascii="Arial" w:hAnsi="Arial"/>
          <w:sz w:val="21"/>
        </w:rPr>
        <w:t>20</w:t>
      </w:r>
      <w:r w:rsidRPr="00516817">
        <w:rPr>
          <w:rFonts w:ascii="Arial" w:hAnsi="Arial"/>
          <w:sz w:val="21"/>
        </w:rPr>
        <w:t xml:space="preserve"> female/2</w:t>
      </w:r>
      <w:r w:rsidR="00344F0A">
        <w:rPr>
          <w:rFonts w:ascii="Arial" w:hAnsi="Arial"/>
          <w:sz w:val="21"/>
        </w:rPr>
        <w:t>4</w:t>
      </w:r>
      <w:r w:rsidRPr="00516817">
        <w:rPr>
          <w:rFonts w:ascii="Arial" w:hAnsi="Arial"/>
          <w:sz w:val="21"/>
        </w:rPr>
        <w:t xml:space="preserve"> male)</w:t>
      </w:r>
    </w:p>
    <w:p w14:paraId="6D245630" w14:textId="37A7894E" w:rsidR="007E0F6C" w:rsidRPr="00516817" w:rsidRDefault="00344F0A"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4</w:t>
      </w:r>
      <w:r w:rsidR="007E0F6C" w:rsidRPr="00516817">
        <w:rPr>
          <w:rFonts w:ascii="Arial" w:hAnsi="Arial"/>
          <w:sz w:val="21"/>
        </w:rPr>
        <w:t>% Asian</w:t>
      </w:r>
      <w:r>
        <w:rPr>
          <w:rFonts w:ascii="Arial" w:hAnsi="Arial"/>
          <w:sz w:val="21"/>
        </w:rPr>
        <w:t xml:space="preserve"> </w:t>
      </w:r>
      <w:r w:rsidR="007E0F6C" w:rsidRPr="00516817">
        <w:rPr>
          <w:rFonts w:ascii="Arial" w:hAnsi="Arial"/>
          <w:sz w:val="21"/>
        </w:rPr>
        <w:t>American</w:t>
      </w:r>
    </w:p>
    <w:p w14:paraId="38E179F4" w14:textId="77777777" w:rsidR="00344F0A" w:rsidRDefault="00344F0A"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23</w:t>
      </w:r>
      <w:r w:rsidR="007E0F6C" w:rsidRPr="00516817">
        <w:rPr>
          <w:rFonts w:ascii="Arial" w:hAnsi="Arial"/>
          <w:sz w:val="21"/>
        </w:rPr>
        <w:t>% Black/African American</w:t>
      </w:r>
    </w:p>
    <w:p w14:paraId="1C6E1EDE" w14:textId="62858F90"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 xml:space="preserve">16% White/Latinx </w:t>
      </w:r>
    </w:p>
    <w:p w14:paraId="47A2E518" w14:textId="6DD922B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5</w:t>
      </w:r>
      <w:r w:rsidR="00344F0A">
        <w:rPr>
          <w:rFonts w:ascii="Arial" w:hAnsi="Arial"/>
          <w:sz w:val="21"/>
        </w:rPr>
        <w:t>7</w:t>
      </w:r>
      <w:r w:rsidRPr="00516817">
        <w:rPr>
          <w:rFonts w:ascii="Arial" w:hAnsi="Arial"/>
          <w:sz w:val="21"/>
        </w:rPr>
        <w:t>% White/Caucasian</w:t>
      </w:r>
    </w:p>
    <w:p w14:paraId="4F3B9745"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 xml:space="preserve"> </w:t>
      </w:r>
    </w:p>
    <w:p w14:paraId="3C270BD5"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Executive management composition:</w:t>
      </w:r>
    </w:p>
    <w:p w14:paraId="40FDB515"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11 staff (seven female/four male)</w:t>
      </w:r>
    </w:p>
    <w:p w14:paraId="6018C423" w14:textId="15160C25"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4 Asian</w:t>
      </w:r>
      <w:r w:rsidR="00344F0A">
        <w:rPr>
          <w:rFonts w:ascii="Arial" w:hAnsi="Arial"/>
          <w:sz w:val="21"/>
        </w:rPr>
        <w:t xml:space="preserve"> </w:t>
      </w:r>
      <w:r w:rsidRPr="00516817">
        <w:rPr>
          <w:rFonts w:ascii="Arial" w:hAnsi="Arial"/>
          <w:sz w:val="21"/>
        </w:rPr>
        <w:t>American</w:t>
      </w:r>
    </w:p>
    <w:p w14:paraId="312966EE"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1 Black/Caribbean-American</w:t>
      </w:r>
    </w:p>
    <w:p w14:paraId="1C5E87BD"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2 White/Latinx</w:t>
      </w:r>
    </w:p>
    <w:p w14:paraId="718A17E0"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 xml:space="preserve">1 White/Middle Eastern </w:t>
      </w:r>
    </w:p>
    <w:p w14:paraId="59C2F1BF"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 xml:space="preserve">3 White/Caucasian </w:t>
      </w:r>
    </w:p>
    <w:bookmarkEnd w:id="0"/>
    <w:p w14:paraId="57F01B88" w14:textId="1939982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 xml:space="preserve"> </w:t>
      </w:r>
    </w:p>
    <w:p w14:paraId="315D187C" w14:textId="77777777" w:rsidR="007E0F6C" w:rsidRPr="00516817"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Supervisory staff composition:</w:t>
      </w:r>
    </w:p>
    <w:p w14:paraId="00B5B292" w14:textId="7A23F43A"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516817">
        <w:rPr>
          <w:rFonts w:ascii="Arial" w:hAnsi="Arial"/>
          <w:sz w:val="21"/>
        </w:rPr>
        <w:t>One managing attorney</w:t>
      </w:r>
      <w:r w:rsidRPr="00E66340">
        <w:rPr>
          <w:rFonts w:ascii="Arial" w:hAnsi="Arial"/>
          <w:sz w:val="21"/>
        </w:rPr>
        <w:t xml:space="preserve"> (White</w:t>
      </w:r>
      <w:r w:rsidR="00087138">
        <w:rPr>
          <w:rFonts w:ascii="Arial" w:hAnsi="Arial"/>
          <w:sz w:val="21"/>
        </w:rPr>
        <w:t xml:space="preserve"> male</w:t>
      </w:r>
      <w:bookmarkStart w:id="1" w:name="OpenAt"/>
      <w:bookmarkEnd w:id="1"/>
      <w:r w:rsidRPr="00E66340">
        <w:rPr>
          <w:rFonts w:ascii="Arial" w:hAnsi="Arial"/>
          <w:sz w:val="21"/>
        </w:rPr>
        <w:t>)</w:t>
      </w:r>
    </w:p>
    <w:p w14:paraId="55902D5B" w14:textId="1292F92E"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728DD3F" w14:textId="77777777" w:rsidR="007E0F6C" w:rsidRPr="00E66340"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5BC6905" w14:textId="77777777"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A83815">
        <w:rPr>
          <w:rFonts w:ascii="Arial" w:hAnsi="Arial"/>
          <w:i/>
          <w:iCs/>
          <w:sz w:val="21"/>
        </w:rPr>
        <w:t xml:space="preserve">4) Agency will assist eligible participants in submitting applications to applicable Santa Monica Housing programs, including but not limited to: Section 8 and Below Market Housing (BMH) Waitlists, Preserving Our Diversity (POD), and Continuum of Care (CoC) programs. </w:t>
      </w:r>
    </w:p>
    <w:p w14:paraId="7815A1F4" w14:textId="77777777" w:rsidR="007E0F6C"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E66340">
        <w:rPr>
          <w:rFonts w:ascii="Arial" w:hAnsi="Arial"/>
          <w:sz w:val="21"/>
        </w:rPr>
        <w:t xml:space="preserve">LAFLA staff have been assisting residents in need of additional </w:t>
      </w:r>
      <w:r>
        <w:rPr>
          <w:rFonts w:ascii="Arial" w:hAnsi="Arial"/>
          <w:sz w:val="21"/>
        </w:rPr>
        <w:t>h</w:t>
      </w:r>
      <w:r w:rsidRPr="00E66340">
        <w:rPr>
          <w:rFonts w:ascii="Arial" w:hAnsi="Arial"/>
          <w:sz w:val="21"/>
        </w:rPr>
        <w:t xml:space="preserve">ousing assistance with applications to appropriate Santa Monica </w:t>
      </w:r>
      <w:r>
        <w:rPr>
          <w:rFonts w:ascii="Arial" w:hAnsi="Arial"/>
          <w:sz w:val="21"/>
        </w:rPr>
        <w:t>h</w:t>
      </w:r>
      <w:r w:rsidRPr="00E66340">
        <w:rPr>
          <w:rFonts w:ascii="Arial" w:hAnsi="Arial"/>
          <w:sz w:val="21"/>
        </w:rPr>
        <w:t>ousing programs and other services.</w:t>
      </w:r>
    </w:p>
    <w:p w14:paraId="70F3163B" w14:textId="77777777" w:rsidR="007E0F6C"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8A8DABB"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u w:val="single"/>
        </w:rPr>
      </w:pPr>
      <w:r w:rsidRPr="00186EDE">
        <w:rPr>
          <w:rFonts w:ascii="Arial" w:hAnsi="Arial"/>
          <w:i/>
          <w:iCs/>
          <w:sz w:val="21"/>
          <w:u w:val="single"/>
        </w:rPr>
        <w:t>CDBG Funding</w:t>
      </w:r>
    </w:p>
    <w:p w14:paraId="40DC172B"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186EDE">
        <w:rPr>
          <w:rFonts w:ascii="Arial" w:hAnsi="Arial"/>
          <w:i/>
          <w:iCs/>
          <w:sz w:val="21"/>
        </w:rPr>
        <w:t>1) Eligible Activities: Contractor shall comply with eligibility requirements for Community Development Block Grant (CDBG) funded projects as detailed in 24 CFR Part 570 Subpart C of the Housing and Urban Development (HUD) Regulations. This project is deemed eligible for CDBG funding as an activity which</w:t>
      </w:r>
    </w:p>
    <w:p w14:paraId="5671A14A"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benefits a limited clientele who are generally presumed to be principally low and moderate income persons or serves participants that provide family size and income evidence (24 CFR 570.208a2(A)(B)). Contractor must collect income verification documentation at the time of intake and at least annually while the participant is receiving CDBG-funded services. Contractor shall work with City staff to comply with fiscal year-end reporting as required by HUD in the preparation of the Consolidated Annual Performance and Evaluation Report (CAPER). </w:t>
      </w:r>
    </w:p>
    <w:p w14:paraId="60457776" w14:textId="2B6E1222"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 xml:space="preserve">LAFLA </w:t>
      </w:r>
      <w:r>
        <w:rPr>
          <w:rFonts w:ascii="Arial" w:hAnsi="Arial"/>
          <w:sz w:val="21"/>
        </w:rPr>
        <w:t>complies</w:t>
      </w:r>
      <w:r w:rsidRPr="00A83815">
        <w:rPr>
          <w:rFonts w:ascii="Arial" w:hAnsi="Arial"/>
          <w:sz w:val="21"/>
        </w:rPr>
        <w:t xml:space="preserve"> with 24 C</w:t>
      </w:r>
      <w:r>
        <w:rPr>
          <w:rFonts w:ascii="Arial" w:hAnsi="Arial"/>
          <w:sz w:val="21"/>
        </w:rPr>
        <w:t>.</w:t>
      </w:r>
      <w:r w:rsidRPr="00A83815">
        <w:rPr>
          <w:rFonts w:ascii="Arial" w:hAnsi="Arial"/>
          <w:sz w:val="21"/>
        </w:rPr>
        <w:t>F</w:t>
      </w:r>
      <w:r>
        <w:rPr>
          <w:rFonts w:ascii="Arial" w:hAnsi="Arial"/>
          <w:sz w:val="21"/>
        </w:rPr>
        <w:t>.</w:t>
      </w:r>
      <w:r w:rsidRPr="00A83815">
        <w:rPr>
          <w:rFonts w:ascii="Arial" w:hAnsi="Arial"/>
          <w:sz w:val="21"/>
        </w:rPr>
        <w:t>R</w:t>
      </w:r>
      <w:r>
        <w:rPr>
          <w:rFonts w:ascii="Arial" w:hAnsi="Arial"/>
          <w:sz w:val="21"/>
        </w:rPr>
        <w:t>.</w:t>
      </w:r>
      <w:r w:rsidRPr="00A83815">
        <w:rPr>
          <w:rFonts w:ascii="Arial" w:hAnsi="Arial"/>
          <w:sz w:val="21"/>
        </w:rPr>
        <w:t xml:space="preserve"> Part 570 Subpart C of the Housing and Urban Development (HUD) Regulations. LAFLA verifies and documents eligibility through the use of comprehensive intake questions. LAFLA asks applicants to provide information about their household income and assets and assesses eligibility for CDBG-funded services. LAFLA asks applicants to certify that the information they have provided LAFLA is true and correct. LAFLA’s retainer agreement states that clients must notify LAFLA if they experience any change in their household income or assets, and that LAFLA may terminate service consistent with </w:t>
      </w:r>
      <w:r w:rsidR="002C75B6">
        <w:rPr>
          <w:rFonts w:ascii="Arial" w:hAnsi="Arial"/>
          <w:sz w:val="21"/>
        </w:rPr>
        <w:t>its</w:t>
      </w:r>
      <w:r w:rsidR="002C75B6" w:rsidRPr="00A83815">
        <w:rPr>
          <w:rFonts w:ascii="Arial" w:hAnsi="Arial"/>
          <w:sz w:val="21"/>
        </w:rPr>
        <w:t xml:space="preserve"> </w:t>
      </w:r>
      <w:r w:rsidRPr="00A83815">
        <w:rPr>
          <w:rFonts w:ascii="Arial" w:hAnsi="Arial"/>
          <w:sz w:val="21"/>
        </w:rPr>
        <w:t xml:space="preserve">ethical obligations if LAFLA determines at any time that a client has provided false or misleading information to establish eligibility. If through the course of the relationship LAFLA becomes aware of a change in income or assets, LAFLA reassesses the client for eligibility. LAFLA will work with City staff to comply with fiscal year-end reporting as required by HUD in the preparation of the </w:t>
      </w:r>
      <w:r w:rsidR="002C75B6" w:rsidRPr="00A83815">
        <w:rPr>
          <w:rFonts w:ascii="Arial" w:hAnsi="Arial"/>
          <w:sz w:val="21"/>
        </w:rPr>
        <w:t>consolidated annual performance and evaluation report</w:t>
      </w:r>
      <w:r w:rsidRPr="00A83815">
        <w:rPr>
          <w:rFonts w:ascii="Arial" w:hAnsi="Arial"/>
          <w:sz w:val="21"/>
        </w:rPr>
        <w:t>.</w:t>
      </w:r>
    </w:p>
    <w:p w14:paraId="6404D311" w14:textId="77777777"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8220DEA" w14:textId="0213A746"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lastRenderedPageBreak/>
        <w:t>2) Program Income: Any program income generated by Contractor through the award of CDBG funds shall be returned to the City. “Program income” is herein defined as: a) proceeds from the disposition by sale or long-term lease of real property purchased or improved with CDBG funds; b) proceeds from the disposition of equipment purchased with CDBG funds; c) gross income from the</w:t>
      </w:r>
      <w:r w:rsidR="00B3584C">
        <w:rPr>
          <w:rFonts w:ascii="Arial" w:hAnsi="Arial"/>
          <w:i/>
          <w:iCs/>
          <w:sz w:val="21"/>
        </w:rPr>
        <w:t xml:space="preserve"> </w:t>
      </w:r>
      <w:r w:rsidRPr="00186EDE">
        <w:rPr>
          <w:rFonts w:ascii="Arial" w:hAnsi="Arial"/>
          <w:i/>
          <w:iCs/>
          <w:sz w:val="21"/>
        </w:rPr>
        <w:t xml:space="preserve">use or rental of real or personal property acquired by the Contractor with CDBG funds, less costs incidental to generation of the income; d) gross income from the use or rental of real property, owned by Contractor, that was constructed or improved with CDBG funds, less costs incidental to generation of the income; e) payments of principal and interest on loans made using CDBG funds; f) proceeds from the sale of loans made with CDBG funds; g) proceeds from the sale of obligations secured by loans made with CDBG funds; h) interest earned on funds held in a revolving fund account; and i) interest earned on program income pending its disposition. </w:t>
      </w:r>
    </w:p>
    <w:p w14:paraId="3D7CA293" w14:textId="77777777"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LAFLA does not generate any program income.</w:t>
      </w:r>
    </w:p>
    <w:p w14:paraId="7175AFB3" w14:textId="77777777"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AE25F1C"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3) Uniform Administrative Requirements: Contractor shall comply with applicable uniform administrative requirements as described in 24 C.F.R. 570.502 of the HUD CDBG regulations. </w:t>
      </w:r>
    </w:p>
    <w:p w14:paraId="47F41496" w14:textId="5E8AD7B5"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 xml:space="preserve">LAFLA </w:t>
      </w:r>
      <w:r>
        <w:rPr>
          <w:rFonts w:ascii="Arial" w:hAnsi="Arial"/>
          <w:sz w:val="21"/>
        </w:rPr>
        <w:t>complies</w:t>
      </w:r>
      <w:r w:rsidRPr="00A83815">
        <w:rPr>
          <w:rFonts w:ascii="Arial" w:hAnsi="Arial"/>
          <w:sz w:val="21"/>
        </w:rPr>
        <w:t xml:space="preserve"> with uniform administrative requirements as described in 24 C.F.R. 570.502 of the HUD CDBG regulations. LAFLA </w:t>
      </w:r>
      <w:r w:rsidR="002C75B6">
        <w:rPr>
          <w:rFonts w:ascii="Arial" w:hAnsi="Arial"/>
          <w:sz w:val="21"/>
        </w:rPr>
        <w:t>staff are guided by</w:t>
      </w:r>
      <w:r w:rsidR="002C75B6" w:rsidRPr="00A83815">
        <w:rPr>
          <w:rFonts w:ascii="Arial" w:hAnsi="Arial"/>
          <w:sz w:val="21"/>
        </w:rPr>
        <w:t xml:space="preserve"> </w:t>
      </w:r>
      <w:r w:rsidRPr="00A83815">
        <w:rPr>
          <w:rFonts w:ascii="Arial" w:hAnsi="Arial"/>
          <w:sz w:val="21"/>
        </w:rPr>
        <w:t xml:space="preserve">an </w:t>
      </w:r>
      <w:r w:rsidR="002C75B6" w:rsidRPr="00A83815">
        <w:rPr>
          <w:rFonts w:ascii="Arial" w:hAnsi="Arial"/>
          <w:sz w:val="21"/>
        </w:rPr>
        <w:t>advocacy policies and procedures manual</w:t>
      </w:r>
      <w:r w:rsidR="002C75B6">
        <w:rPr>
          <w:rFonts w:ascii="Arial" w:hAnsi="Arial"/>
          <w:sz w:val="21"/>
        </w:rPr>
        <w:t>;</w:t>
      </w:r>
      <w:r w:rsidRPr="00A83815">
        <w:rPr>
          <w:rFonts w:ascii="Arial" w:hAnsi="Arial"/>
          <w:sz w:val="21"/>
        </w:rPr>
        <w:t xml:space="preserve"> and</w:t>
      </w:r>
      <w:r w:rsidR="002C75B6">
        <w:rPr>
          <w:rFonts w:ascii="Arial" w:hAnsi="Arial"/>
          <w:sz w:val="21"/>
        </w:rPr>
        <w:t>,</w:t>
      </w:r>
      <w:r w:rsidRPr="00A83815">
        <w:rPr>
          <w:rFonts w:ascii="Arial" w:hAnsi="Arial"/>
          <w:sz w:val="21"/>
        </w:rPr>
        <w:t xml:space="preserve"> each year</w:t>
      </w:r>
      <w:r w:rsidR="002C75B6">
        <w:rPr>
          <w:rFonts w:ascii="Arial" w:hAnsi="Arial"/>
          <w:sz w:val="21"/>
        </w:rPr>
        <w:t>,</w:t>
      </w:r>
      <w:r w:rsidRPr="00A83815">
        <w:rPr>
          <w:rFonts w:ascii="Arial" w:hAnsi="Arial"/>
          <w:sz w:val="21"/>
        </w:rPr>
        <w:t xml:space="preserve"> compliance training is conducted at every LAFLA office.</w:t>
      </w:r>
      <w:r w:rsidR="00B3584C">
        <w:rPr>
          <w:rFonts w:ascii="Arial" w:hAnsi="Arial"/>
          <w:sz w:val="21"/>
        </w:rPr>
        <w:t xml:space="preserve"> </w:t>
      </w:r>
      <w:r w:rsidRPr="00A83815">
        <w:rPr>
          <w:rFonts w:ascii="Arial" w:hAnsi="Arial"/>
          <w:sz w:val="21"/>
        </w:rPr>
        <w:t xml:space="preserve">LAFLA’s </w:t>
      </w:r>
      <w:r>
        <w:rPr>
          <w:rFonts w:ascii="Arial" w:hAnsi="Arial"/>
          <w:sz w:val="21"/>
        </w:rPr>
        <w:t>c</w:t>
      </w:r>
      <w:r w:rsidRPr="00A83815">
        <w:rPr>
          <w:rFonts w:ascii="Arial" w:hAnsi="Arial"/>
          <w:sz w:val="21"/>
        </w:rPr>
        <w:t xml:space="preserve">ompliance </w:t>
      </w:r>
      <w:r>
        <w:rPr>
          <w:rFonts w:ascii="Arial" w:hAnsi="Arial"/>
          <w:sz w:val="21"/>
        </w:rPr>
        <w:t>t</w:t>
      </w:r>
      <w:r w:rsidRPr="00A83815">
        <w:rPr>
          <w:rFonts w:ascii="Arial" w:hAnsi="Arial"/>
          <w:sz w:val="21"/>
        </w:rPr>
        <w:t>eam conducts regular audits of case files to ensure that all funding requirements are met.</w:t>
      </w:r>
    </w:p>
    <w:p w14:paraId="79C68F7D" w14:textId="77777777" w:rsidR="007E0F6C" w:rsidRPr="00A83815"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17B95CF"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i/>
          <w:iCs/>
          <w:sz w:val="21"/>
        </w:rPr>
      </w:pPr>
      <w:r w:rsidRPr="00186EDE">
        <w:rPr>
          <w:rFonts w:ascii="Arial" w:hAnsi="Arial"/>
          <w:i/>
          <w:iCs/>
          <w:sz w:val="21"/>
        </w:rPr>
        <w:t>4) Financial Management: Contractor shall maintain a fiscal management and accounting system based on Generally Accepted Accounting Principles (GAAP) and shall conduct an agency audit according to these principles on an annual basis. Contractor further agrees to conform to all requirements as contained in 2</w:t>
      </w:r>
    </w:p>
    <w:p w14:paraId="0D2F1984" w14:textId="77777777" w:rsidR="007E0F6C" w:rsidRPr="00186EDE"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i/>
          <w:iCs/>
          <w:sz w:val="21"/>
        </w:rPr>
      </w:pPr>
      <w:r w:rsidRPr="00186EDE">
        <w:rPr>
          <w:rFonts w:ascii="Arial" w:hAnsi="Arial"/>
          <w:i/>
          <w:iCs/>
          <w:sz w:val="21"/>
        </w:rPr>
        <w:t xml:space="preserve">CFR 200 “Uniform Administrative Requirements, Cost principles, and Audit Requirements for Federal Awards”, which incorporates elements of past guidance contained in OMB Circular No. A-122, and OMB Circular No. A-110. These items shall be in sufficient detail to provide a sound basis for the City to effectively monitor performance under the Agreement. </w:t>
      </w:r>
    </w:p>
    <w:p w14:paraId="503289F6" w14:textId="430F72C9" w:rsidR="009A01AA" w:rsidRDefault="007E0F6C" w:rsidP="007E0F6C">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sidRPr="00A83815">
        <w:rPr>
          <w:rFonts w:ascii="Arial" w:hAnsi="Arial"/>
          <w:sz w:val="21"/>
        </w:rPr>
        <w:t>LAFLA has a written accounting manual in line with generally accepted accounting practices, which is updated regularly.</w:t>
      </w:r>
      <w:r w:rsidR="00B3584C">
        <w:rPr>
          <w:rFonts w:ascii="Arial" w:hAnsi="Arial"/>
          <w:sz w:val="21"/>
        </w:rPr>
        <w:t xml:space="preserve"> </w:t>
      </w:r>
      <w:r w:rsidRPr="00A83815">
        <w:rPr>
          <w:rFonts w:ascii="Arial" w:hAnsi="Arial"/>
          <w:sz w:val="21"/>
        </w:rPr>
        <w:t>LAFLA's financial statements are prepared on an accrual basis and in accordance with established standards for external financial reporting by not-for-profit organizations. LAFLA is audited yearly by the Harrington Group accounting firm and has consistently had unqualified, “clean” audits.</w:t>
      </w: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153AF7F4"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w:t>
      </w:r>
      <w:r w:rsidR="00B3584C">
        <w:rPr>
          <w:rFonts w:ascii="Arial" w:hAnsi="Arial" w:hint="eastAsia"/>
          <w:b/>
          <w:sz w:val="22"/>
          <w:szCs w:val="22"/>
          <w:u w:val="single"/>
        </w:rPr>
        <w:t xml:space="preserve">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0FFEB28B" w:rsidR="0062632F" w:rsidRDefault="00EA416A" w:rsidP="00F10DDB">
            <w:pPr>
              <w:rPr>
                <w:rFonts w:ascii="Arial" w:hAnsi="Arial"/>
                <w:sz w:val="21"/>
              </w:rPr>
            </w:pPr>
            <w:r>
              <w:rPr>
                <w:rFonts w:ascii="Arial" w:hAnsi="Arial"/>
                <w:sz w:val="21"/>
              </w:rPr>
              <w:t>N/A*</w:t>
            </w:r>
          </w:p>
        </w:tc>
        <w:tc>
          <w:tcPr>
            <w:tcW w:w="1911" w:type="dxa"/>
            <w:vAlign w:val="center"/>
          </w:tcPr>
          <w:p w14:paraId="0CADC2C2" w14:textId="063DF415" w:rsidR="0062632F" w:rsidRDefault="00CF75FE" w:rsidP="00F10DDB">
            <w:pPr>
              <w:rPr>
                <w:rFonts w:ascii="Arial" w:hAnsi="Arial"/>
                <w:sz w:val="21"/>
              </w:rPr>
            </w:pPr>
            <w:r>
              <w:rPr>
                <w:rFonts w:ascii="Arial" w:hAnsi="Arial"/>
                <w:sz w:val="21"/>
              </w:rPr>
              <w:t>N/A*</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29B40BC8" w:rsidR="0062632F" w:rsidRDefault="00EA416A" w:rsidP="00F10DDB">
            <w:pPr>
              <w:rPr>
                <w:rFonts w:ascii="Arial" w:hAnsi="Arial"/>
                <w:sz w:val="21"/>
              </w:rPr>
            </w:pPr>
            <w:r>
              <w:rPr>
                <w:rFonts w:ascii="Arial" w:hAnsi="Arial"/>
                <w:sz w:val="21"/>
              </w:rPr>
              <w:t>N/A*</w:t>
            </w:r>
          </w:p>
        </w:tc>
        <w:tc>
          <w:tcPr>
            <w:tcW w:w="1911" w:type="dxa"/>
            <w:vAlign w:val="center"/>
          </w:tcPr>
          <w:p w14:paraId="2A471029" w14:textId="11C9875F" w:rsidR="0062632F" w:rsidRDefault="00CF75FE" w:rsidP="00F10DDB">
            <w:pPr>
              <w:rPr>
                <w:rFonts w:ascii="Arial" w:hAnsi="Arial"/>
                <w:sz w:val="21"/>
              </w:rPr>
            </w:pPr>
            <w:r>
              <w:rPr>
                <w:rFonts w:ascii="Arial" w:hAnsi="Arial"/>
                <w:sz w:val="21"/>
              </w:rPr>
              <w:t>N/A*</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B34CC06" w:rsidR="0062632F" w:rsidRDefault="00EA416A" w:rsidP="00F10DDB">
            <w:pPr>
              <w:rPr>
                <w:rFonts w:ascii="Arial" w:hAnsi="Arial"/>
                <w:sz w:val="21"/>
              </w:rPr>
            </w:pPr>
            <w:r>
              <w:rPr>
                <w:rFonts w:ascii="Arial" w:hAnsi="Arial"/>
                <w:sz w:val="21"/>
              </w:rPr>
              <w:t>N/A*</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B5B14C2" w:rsidR="0062632F" w:rsidRDefault="00CF75FE" w:rsidP="00F10DDB">
            <w:pPr>
              <w:rPr>
                <w:rFonts w:ascii="Arial" w:hAnsi="Arial"/>
                <w:sz w:val="21"/>
              </w:rPr>
            </w:pPr>
            <w:r>
              <w:rPr>
                <w:rFonts w:ascii="Arial" w:hAnsi="Arial"/>
                <w:sz w:val="21"/>
              </w:rPr>
              <w:t>N/A*</w:t>
            </w:r>
          </w:p>
        </w:tc>
      </w:tr>
    </w:tbl>
    <w:p w14:paraId="0208F8C6" w14:textId="26A91089" w:rsidR="0062632F" w:rsidRDefault="00486460" w:rsidP="0062632F">
      <w:pPr>
        <w:jc w:val="both"/>
        <w:rPr>
          <w:rFonts w:ascii="Arial" w:hAnsi="Arial"/>
          <w:sz w:val="21"/>
        </w:rPr>
      </w:pPr>
      <w:r>
        <w:rPr>
          <w:rFonts w:ascii="Arial" w:hAnsi="Arial"/>
          <w:sz w:val="21"/>
        </w:rPr>
        <w:tab/>
      </w:r>
      <w:r>
        <w:rPr>
          <w:rFonts w:ascii="Arial" w:hAnsi="Arial"/>
          <w:sz w:val="21"/>
        </w:rPr>
        <w:tab/>
      </w:r>
      <w:r>
        <w:rPr>
          <w:rFonts w:ascii="Arial" w:hAnsi="Arial"/>
          <w:sz w:val="21"/>
        </w:rPr>
        <w:tab/>
      </w:r>
      <w:r w:rsidRPr="00260DE7">
        <w:rPr>
          <w:rFonts w:ascii="Arial" w:hAnsi="Arial"/>
          <w:sz w:val="17"/>
          <w:szCs w:val="17"/>
        </w:rPr>
        <w:t>*An assessment of additional needs is conducted in the normal course of advice and representation and tailored to each client.</w:t>
      </w: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2AAEBB12" w:rsidR="0062632F" w:rsidRDefault="00490AFB" w:rsidP="00E35998">
            <w:pPr>
              <w:jc w:val="center"/>
              <w:rPr>
                <w:rFonts w:ascii="Arial" w:hAnsi="Arial"/>
                <w:sz w:val="21"/>
              </w:rPr>
            </w:pPr>
            <w:r>
              <w:rPr>
                <w:rFonts w:ascii="Arial" w:hAnsi="Arial"/>
                <w:sz w:val="21"/>
              </w:rPr>
              <w:t>50</w:t>
            </w:r>
            <w:r w:rsidR="00D757F5">
              <w:rPr>
                <w:rFonts w:ascii="Arial" w:hAnsi="Arial"/>
                <w:sz w:val="21"/>
              </w:rPr>
              <w:t>*</w:t>
            </w:r>
          </w:p>
        </w:tc>
        <w:tc>
          <w:tcPr>
            <w:tcW w:w="1911" w:type="dxa"/>
            <w:vAlign w:val="center"/>
          </w:tcPr>
          <w:p w14:paraId="6B6C2475" w14:textId="110C48EB" w:rsidR="0062632F" w:rsidRDefault="00517DE9" w:rsidP="00517DE9">
            <w:pPr>
              <w:jc w:val="center"/>
              <w:rPr>
                <w:rFonts w:ascii="Arial" w:hAnsi="Arial"/>
                <w:sz w:val="21"/>
              </w:rPr>
            </w:pPr>
            <w:r>
              <w:rPr>
                <w:rFonts w:ascii="Arial" w:hAnsi="Arial"/>
                <w:sz w:val="21"/>
              </w:rPr>
              <w:t>100*</w:t>
            </w:r>
          </w:p>
        </w:tc>
      </w:tr>
      <w:tr w:rsidR="0062632F" w14:paraId="2E650335" w14:textId="77777777" w:rsidTr="00F10DDB">
        <w:trPr>
          <w:trHeight w:val="460"/>
          <w:jc w:val="center"/>
        </w:trPr>
        <w:tc>
          <w:tcPr>
            <w:tcW w:w="5949" w:type="dxa"/>
            <w:vAlign w:val="center"/>
          </w:tcPr>
          <w:p w14:paraId="050BBE9D" w14:textId="2189FA07" w:rsidR="0062632F" w:rsidRPr="00331622" w:rsidRDefault="00B3584C" w:rsidP="00F10DDB">
            <w:pPr>
              <w:rPr>
                <w:rFonts w:ascii="Arial" w:hAnsi="Arial"/>
                <w:b/>
                <w:sz w:val="21"/>
              </w:rPr>
            </w:pPr>
            <w:r>
              <w:rPr>
                <w:rFonts w:ascii="Arial" w:hAnsi="Arial"/>
                <w:b/>
                <w:sz w:val="21"/>
              </w:rPr>
              <w:t xml:space="preserve"> </w:t>
            </w:r>
            <w:r w:rsidR="0062632F">
              <w:rPr>
                <w:rFonts w:ascii="Arial" w:hAnsi="Arial"/>
                <w:b/>
                <w:sz w:val="21"/>
              </w:rPr>
              <w:t>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5D25AF0A" w:rsidR="0062632F" w:rsidRPr="00331622" w:rsidRDefault="00517DE9" w:rsidP="00F10DDB">
            <w:pPr>
              <w:numPr>
                <w:ilvl w:val="1"/>
                <w:numId w:val="7"/>
              </w:numPr>
              <w:rPr>
                <w:rFonts w:ascii="Arial" w:hAnsi="Arial"/>
                <w:b/>
                <w:sz w:val="21"/>
              </w:rPr>
            </w:pPr>
            <w:r w:rsidRPr="00EE6B7C">
              <w:rPr>
                <w:rFonts w:ascii="Arial" w:hAnsi="Arial"/>
                <w:b/>
                <w:sz w:val="21"/>
              </w:rPr>
              <w:t>City of Santa Monica/City Attorney’s Office</w:t>
            </w:r>
          </w:p>
        </w:tc>
        <w:tc>
          <w:tcPr>
            <w:tcW w:w="1890" w:type="dxa"/>
            <w:vAlign w:val="center"/>
          </w:tcPr>
          <w:p w14:paraId="458B8149" w14:textId="2AC1DA5E" w:rsidR="0062632F" w:rsidRDefault="006D2806" w:rsidP="00D25031">
            <w:pPr>
              <w:jc w:val="center"/>
              <w:rPr>
                <w:rFonts w:ascii="Arial" w:hAnsi="Arial"/>
                <w:sz w:val="21"/>
              </w:rPr>
            </w:pPr>
            <w:r>
              <w:rPr>
                <w:rFonts w:ascii="Arial" w:hAnsi="Arial"/>
                <w:sz w:val="21"/>
              </w:rPr>
              <w:t xml:space="preserve">Approx. </w:t>
            </w:r>
            <w:r w:rsidR="00D25031">
              <w:rPr>
                <w:rFonts w:ascii="Arial" w:hAnsi="Arial"/>
                <w:sz w:val="21"/>
              </w:rPr>
              <w:t>15*</w:t>
            </w:r>
          </w:p>
        </w:tc>
        <w:tc>
          <w:tcPr>
            <w:tcW w:w="1911" w:type="dxa"/>
            <w:vAlign w:val="center"/>
          </w:tcPr>
          <w:p w14:paraId="13EBB73F" w14:textId="310D1A0E" w:rsidR="0062632F" w:rsidRDefault="00517DE9" w:rsidP="00517DE9">
            <w:pPr>
              <w:jc w:val="center"/>
              <w:rPr>
                <w:rFonts w:ascii="Arial" w:hAnsi="Arial"/>
                <w:sz w:val="21"/>
              </w:rPr>
            </w:pPr>
            <w:r>
              <w:rPr>
                <w:rFonts w:ascii="Arial" w:hAnsi="Arial"/>
                <w:sz w:val="21"/>
              </w:rPr>
              <w:t>Approx. 4</w:t>
            </w:r>
            <w:r w:rsidR="00CF75FE">
              <w:rPr>
                <w:rFonts w:ascii="Arial" w:hAnsi="Arial"/>
                <w:sz w:val="21"/>
              </w:rPr>
              <w:t>0</w:t>
            </w:r>
            <w:r w:rsidR="00EF677C">
              <w:rPr>
                <w:rFonts w:ascii="Arial" w:hAnsi="Arial"/>
                <w:sz w:val="21"/>
              </w:rPr>
              <w:t>*</w:t>
            </w:r>
          </w:p>
        </w:tc>
      </w:tr>
      <w:tr w:rsidR="0062632F" w14:paraId="6EA4DD57" w14:textId="77777777" w:rsidTr="00F10DDB">
        <w:trPr>
          <w:trHeight w:val="460"/>
          <w:jc w:val="center"/>
        </w:trPr>
        <w:tc>
          <w:tcPr>
            <w:tcW w:w="5949" w:type="dxa"/>
            <w:vAlign w:val="center"/>
          </w:tcPr>
          <w:p w14:paraId="705D90ED" w14:textId="715E56E6" w:rsidR="0062632F" w:rsidRPr="00331622" w:rsidRDefault="00F617B5" w:rsidP="00F10DDB">
            <w:pPr>
              <w:numPr>
                <w:ilvl w:val="1"/>
                <w:numId w:val="7"/>
              </w:numPr>
              <w:rPr>
                <w:rFonts w:ascii="Arial" w:hAnsi="Arial"/>
                <w:b/>
                <w:sz w:val="21"/>
              </w:rPr>
            </w:pPr>
            <w:r>
              <w:rPr>
                <w:rFonts w:ascii="Arial" w:hAnsi="Arial"/>
                <w:b/>
                <w:sz w:val="21"/>
              </w:rPr>
              <w:t>Rent Control Board</w:t>
            </w:r>
          </w:p>
        </w:tc>
        <w:tc>
          <w:tcPr>
            <w:tcW w:w="1890" w:type="dxa"/>
            <w:vAlign w:val="center"/>
          </w:tcPr>
          <w:p w14:paraId="508DCB62" w14:textId="69E31433" w:rsidR="0062632F" w:rsidRDefault="006D2806" w:rsidP="00D25031">
            <w:pPr>
              <w:jc w:val="center"/>
              <w:rPr>
                <w:rFonts w:ascii="Arial" w:hAnsi="Arial"/>
                <w:sz w:val="21"/>
              </w:rPr>
            </w:pPr>
            <w:r>
              <w:rPr>
                <w:rFonts w:ascii="Arial" w:hAnsi="Arial"/>
                <w:sz w:val="21"/>
              </w:rPr>
              <w:t xml:space="preserve">Approx. </w:t>
            </w:r>
            <w:r w:rsidR="00D25031">
              <w:rPr>
                <w:rFonts w:ascii="Arial" w:hAnsi="Arial"/>
                <w:sz w:val="21"/>
              </w:rPr>
              <w:t>15*</w:t>
            </w:r>
          </w:p>
        </w:tc>
        <w:tc>
          <w:tcPr>
            <w:tcW w:w="1911" w:type="dxa"/>
            <w:vAlign w:val="center"/>
          </w:tcPr>
          <w:p w14:paraId="6AC04F08" w14:textId="6113D751" w:rsidR="0062632F" w:rsidRDefault="00EF677C" w:rsidP="00517DE9">
            <w:pPr>
              <w:jc w:val="center"/>
              <w:rPr>
                <w:rFonts w:ascii="Arial" w:hAnsi="Arial"/>
                <w:sz w:val="21"/>
              </w:rPr>
            </w:pPr>
            <w:r>
              <w:rPr>
                <w:rFonts w:ascii="Arial" w:hAnsi="Arial"/>
                <w:sz w:val="21"/>
              </w:rPr>
              <w:t>Approx. 30*</w:t>
            </w:r>
          </w:p>
        </w:tc>
      </w:tr>
      <w:tr w:rsidR="0062632F" w14:paraId="25CD6B47" w14:textId="77777777" w:rsidTr="00F10DDB">
        <w:trPr>
          <w:trHeight w:val="460"/>
          <w:jc w:val="center"/>
        </w:trPr>
        <w:tc>
          <w:tcPr>
            <w:tcW w:w="5949" w:type="dxa"/>
            <w:vAlign w:val="center"/>
          </w:tcPr>
          <w:p w14:paraId="45CC40FA" w14:textId="3FF7CCDC" w:rsidR="0062632F" w:rsidRPr="00EE6B7C" w:rsidRDefault="00517DE9" w:rsidP="00F10DDB">
            <w:pPr>
              <w:numPr>
                <w:ilvl w:val="1"/>
                <w:numId w:val="7"/>
              </w:numPr>
              <w:rPr>
                <w:rFonts w:ascii="Arial" w:hAnsi="Arial"/>
                <w:b/>
                <w:sz w:val="21"/>
              </w:rPr>
            </w:pPr>
            <w:r>
              <w:rPr>
                <w:rFonts w:ascii="Arial" w:hAnsi="Arial"/>
                <w:b/>
                <w:sz w:val="21"/>
              </w:rPr>
              <w:t>WISE</w:t>
            </w:r>
          </w:p>
        </w:tc>
        <w:tc>
          <w:tcPr>
            <w:tcW w:w="1890" w:type="dxa"/>
            <w:vAlign w:val="center"/>
          </w:tcPr>
          <w:p w14:paraId="47E57FBA" w14:textId="1BC3519C" w:rsidR="0062632F" w:rsidRDefault="006D2806" w:rsidP="00D25031">
            <w:pPr>
              <w:jc w:val="center"/>
              <w:rPr>
                <w:rFonts w:ascii="Arial" w:hAnsi="Arial"/>
                <w:sz w:val="21"/>
              </w:rPr>
            </w:pPr>
            <w:r>
              <w:rPr>
                <w:rFonts w:ascii="Arial" w:hAnsi="Arial"/>
                <w:sz w:val="21"/>
              </w:rPr>
              <w:t xml:space="preserve">Approx. </w:t>
            </w:r>
            <w:r w:rsidR="00D25031">
              <w:rPr>
                <w:rFonts w:ascii="Arial" w:hAnsi="Arial"/>
                <w:sz w:val="21"/>
              </w:rPr>
              <w:t>15*</w:t>
            </w:r>
          </w:p>
        </w:tc>
        <w:tc>
          <w:tcPr>
            <w:tcW w:w="1911" w:type="dxa"/>
            <w:vAlign w:val="center"/>
          </w:tcPr>
          <w:p w14:paraId="4A61D24B" w14:textId="58EAE11E" w:rsidR="0062632F" w:rsidRDefault="00CF75FE" w:rsidP="00517DE9">
            <w:pPr>
              <w:jc w:val="center"/>
              <w:rPr>
                <w:rFonts w:ascii="Arial" w:hAnsi="Arial"/>
                <w:sz w:val="21"/>
              </w:rPr>
            </w:pPr>
            <w:r>
              <w:rPr>
                <w:rFonts w:ascii="Arial" w:hAnsi="Arial"/>
                <w:sz w:val="21"/>
              </w:rPr>
              <w:t>Approx. 30*</w:t>
            </w:r>
          </w:p>
        </w:tc>
      </w:tr>
    </w:tbl>
    <w:p w14:paraId="54994913" w14:textId="095FC96A" w:rsidR="0062632F" w:rsidRPr="0014318F" w:rsidRDefault="0014318F" w:rsidP="007041BD">
      <w:pPr>
        <w:tabs>
          <w:tab w:val="left" w:pos="-720"/>
          <w:tab w:val="left" w:pos="114"/>
          <w:tab w:val="left" w:pos="294"/>
          <w:tab w:val="left" w:pos="2160"/>
          <w:tab w:val="left" w:pos="2520"/>
          <w:tab w:val="left" w:pos="3600"/>
          <w:tab w:val="left" w:pos="4320"/>
          <w:tab w:val="left" w:pos="4860"/>
          <w:tab w:val="left" w:pos="5760"/>
        </w:tabs>
        <w:ind w:left="2160" w:right="2070"/>
        <w:jc w:val="both"/>
        <w:rPr>
          <w:rFonts w:ascii="Arial" w:hAnsi="Arial"/>
          <w:bCs/>
          <w:sz w:val="21"/>
        </w:rPr>
      </w:pPr>
      <w:r w:rsidRPr="00E639B0">
        <w:rPr>
          <w:rFonts w:ascii="Arial" w:hAnsi="Arial" w:cs="Arial"/>
          <w:bCs/>
          <w:sz w:val="17"/>
          <w:szCs w:val="17"/>
        </w:rPr>
        <w:t>*</w:t>
      </w:r>
      <w:r w:rsidRPr="00E639B0">
        <w:rPr>
          <w:rFonts w:ascii="Arial" w:hAnsi="Arial" w:cs="Arial"/>
          <w:sz w:val="17"/>
          <w:szCs w:val="17"/>
        </w:rPr>
        <w:t xml:space="preserve">Figure </w:t>
      </w:r>
      <w:r w:rsidRPr="00E639B0">
        <w:rPr>
          <w:rFonts w:ascii="Arial" w:hAnsi="Arial" w:cs="Arial"/>
          <w:bCs/>
          <w:sz w:val="17"/>
          <w:szCs w:val="17"/>
        </w:rPr>
        <w:t xml:space="preserve">was generated on an average of two </w:t>
      </w:r>
      <w:r w:rsidR="007041BD">
        <w:rPr>
          <w:rFonts w:ascii="Arial" w:hAnsi="Arial" w:cs="Arial"/>
          <w:bCs/>
          <w:sz w:val="17"/>
          <w:szCs w:val="17"/>
        </w:rPr>
        <w:t xml:space="preserve">to three </w:t>
      </w:r>
      <w:r w:rsidR="001640CA">
        <w:rPr>
          <w:rFonts w:ascii="Arial" w:hAnsi="Arial" w:cs="Arial"/>
          <w:bCs/>
          <w:sz w:val="17"/>
          <w:szCs w:val="17"/>
        </w:rPr>
        <w:t xml:space="preserve">referral </w:t>
      </w:r>
      <w:r w:rsidRPr="00E639B0">
        <w:rPr>
          <w:rFonts w:ascii="Arial" w:hAnsi="Arial" w:cs="Arial"/>
          <w:bCs/>
          <w:sz w:val="17"/>
          <w:szCs w:val="17"/>
        </w:rPr>
        <w:t>clients per week throughout the reporting period.</w:t>
      </w:r>
    </w:p>
    <w:p w14:paraId="17954648" w14:textId="26278BFE"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62"/>
        <w:gridCol w:w="1190"/>
        <w:gridCol w:w="2833"/>
        <w:gridCol w:w="1754"/>
        <w:gridCol w:w="1672"/>
        <w:gridCol w:w="1658"/>
        <w:gridCol w:w="1850"/>
      </w:tblGrid>
      <w:tr w:rsidR="00C25571" w:rsidRPr="009547F3" w14:paraId="79FE570A" w14:textId="77777777" w:rsidTr="000F4C53">
        <w:trPr>
          <w:trHeight w:val="796"/>
        </w:trPr>
        <w:tc>
          <w:tcPr>
            <w:tcW w:w="426" w:type="dxa"/>
            <w:shd w:val="clear" w:color="auto" w:fill="C0C0C0"/>
            <w:vAlign w:val="center"/>
            <w:hideMark/>
          </w:tcPr>
          <w:p w14:paraId="74A71638" w14:textId="77777777" w:rsidR="00C25571" w:rsidRPr="009547F3" w:rsidRDefault="00C25571" w:rsidP="00C25571">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2162" w:type="dxa"/>
            <w:shd w:val="clear" w:color="auto" w:fill="C0C0C0"/>
            <w:vAlign w:val="center"/>
            <w:hideMark/>
          </w:tcPr>
          <w:p w14:paraId="490C683E" w14:textId="77777777" w:rsidR="00C25571" w:rsidRPr="009547F3" w:rsidRDefault="00C25571" w:rsidP="00C25571">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190" w:type="dxa"/>
            <w:shd w:val="clear" w:color="auto" w:fill="C0C0C0"/>
            <w:vAlign w:val="center"/>
            <w:hideMark/>
          </w:tcPr>
          <w:p w14:paraId="7C07DCC6" w14:textId="77777777" w:rsidR="00C25571" w:rsidRPr="009547F3" w:rsidRDefault="00C25571" w:rsidP="00C25571">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833" w:type="dxa"/>
            <w:shd w:val="clear" w:color="auto" w:fill="C0C0C0"/>
            <w:vAlign w:val="center"/>
            <w:hideMark/>
          </w:tcPr>
          <w:p w14:paraId="54AD985B" w14:textId="77777777" w:rsidR="00C25571" w:rsidRPr="009547F3" w:rsidRDefault="00C25571" w:rsidP="00C25571">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1754" w:type="dxa"/>
            <w:shd w:val="clear" w:color="auto" w:fill="C0C0C0"/>
            <w:vAlign w:val="center"/>
            <w:hideMark/>
          </w:tcPr>
          <w:p w14:paraId="22BAC1CA" w14:textId="77777777" w:rsidR="00C25571" w:rsidRPr="009547F3" w:rsidRDefault="00C25571" w:rsidP="00C25571">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shd w:val="clear" w:color="auto" w:fill="C0C0C0"/>
            <w:vAlign w:val="center"/>
          </w:tcPr>
          <w:p w14:paraId="6CB466F8" w14:textId="77777777" w:rsidR="00C25571" w:rsidRDefault="00C25571" w:rsidP="00C25571">
            <w:pPr>
              <w:jc w:val="center"/>
              <w:rPr>
                <w:rFonts w:ascii="Arial" w:eastAsia="Times New Roman" w:hAnsi="Arial" w:cs="Arial"/>
                <w:b/>
                <w:bCs/>
                <w:szCs w:val="20"/>
              </w:rPr>
            </w:pPr>
            <w:r>
              <w:rPr>
                <w:rFonts w:ascii="Arial" w:eastAsia="Times New Roman" w:hAnsi="Arial" w:cs="Arial"/>
                <w:b/>
                <w:bCs/>
                <w:szCs w:val="20"/>
              </w:rPr>
              <w:t>Documentation</w:t>
            </w:r>
          </w:p>
          <w:p w14:paraId="74635F7F" w14:textId="5FDF3838" w:rsidR="00C25571" w:rsidRDefault="00C25571" w:rsidP="00C25571">
            <w:pPr>
              <w:jc w:val="center"/>
              <w:rPr>
                <w:rFonts w:ascii="Arial" w:eastAsia="Times New Roman" w:hAnsi="Arial" w:cs="Arial"/>
                <w:b/>
                <w:bCs/>
                <w:szCs w:val="20"/>
              </w:rPr>
            </w:pPr>
            <w:r>
              <w:rPr>
                <w:rFonts w:ascii="Arial" w:eastAsia="Times New Roman" w:hAnsi="Arial" w:cs="Arial"/>
                <w:b/>
                <w:bCs/>
                <w:color w:val="000000"/>
                <w:szCs w:val="20"/>
              </w:rPr>
              <w:t>Method</w:t>
            </w:r>
          </w:p>
        </w:tc>
        <w:tc>
          <w:tcPr>
            <w:tcW w:w="1658" w:type="dxa"/>
            <w:shd w:val="clear" w:color="auto" w:fill="C0C0C0"/>
          </w:tcPr>
          <w:p w14:paraId="1C03E741" w14:textId="6C1727EB" w:rsidR="00C25571" w:rsidRDefault="00C25571" w:rsidP="00C25571">
            <w:pPr>
              <w:jc w:val="center"/>
              <w:rPr>
                <w:rFonts w:ascii="Arial" w:eastAsia="Times New Roman" w:hAnsi="Arial" w:cs="Arial"/>
                <w:b/>
                <w:bCs/>
                <w:szCs w:val="20"/>
              </w:rPr>
            </w:pPr>
          </w:p>
          <w:p w14:paraId="2DBE0419" w14:textId="492D64AD" w:rsidR="00C25571" w:rsidRDefault="00C25571" w:rsidP="00C25571">
            <w:pPr>
              <w:jc w:val="center"/>
              <w:rPr>
                <w:rFonts w:ascii="Arial" w:eastAsia="Times New Roman" w:hAnsi="Arial" w:cs="Arial"/>
                <w:b/>
                <w:bCs/>
                <w:szCs w:val="20"/>
              </w:rPr>
            </w:pPr>
            <w:r>
              <w:rPr>
                <w:rFonts w:ascii="Arial" w:eastAsia="Times New Roman" w:hAnsi="Arial" w:cs="Arial"/>
                <w:b/>
                <w:bCs/>
                <w:szCs w:val="20"/>
              </w:rPr>
              <w:t>Mid-Year Status Report</w:t>
            </w:r>
          </w:p>
        </w:tc>
        <w:tc>
          <w:tcPr>
            <w:tcW w:w="1850" w:type="dxa"/>
            <w:shd w:val="clear" w:color="auto" w:fill="C0C0C0"/>
            <w:vAlign w:val="center"/>
            <w:hideMark/>
          </w:tcPr>
          <w:p w14:paraId="7EE388A6" w14:textId="4FD68E27" w:rsidR="00C25571" w:rsidRPr="009547F3" w:rsidRDefault="00C25571" w:rsidP="00C25571">
            <w:pPr>
              <w:jc w:val="center"/>
              <w:rPr>
                <w:rFonts w:ascii="Arial" w:eastAsia="Times New Roman" w:hAnsi="Arial" w:cs="Arial"/>
                <w:b/>
                <w:bCs/>
                <w:color w:val="000000"/>
                <w:szCs w:val="20"/>
              </w:rPr>
            </w:pPr>
            <w:r>
              <w:rPr>
                <w:rFonts w:ascii="Arial" w:eastAsia="Times New Roman" w:hAnsi="Arial" w:cs="Arial"/>
                <w:b/>
                <w:bCs/>
                <w:szCs w:val="20"/>
              </w:rPr>
              <w:t>Year-End</w:t>
            </w:r>
            <w:r w:rsidR="00DA33BE">
              <w:rPr>
                <w:rFonts w:ascii="Arial" w:eastAsia="Times New Roman" w:hAnsi="Arial" w:cs="Arial"/>
                <w:b/>
                <w:bCs/>
                <w:szCs w:val="20"/>
              </w:rPr>
              <w:t xml:space="preserve"> Status Report</w:t>
            </w:r>
          </w:p>
        </w:tc>
      </w:tr>
      <w:tr w:rsidR="00C25571" w:rsidRPr="009547F3" w14:paraId="65986C40" w14:textId="77777777" w:rsidTr="000F4C53">
        <w:trPr>
          <w:trHeight w:val="624"/>
        </w:trPr>
        <w:tc>
          <w:tcPr>
            <w:tcW w:w="426" w:type="dxa"/>
            <w:shd w:val="clear" w:color="auto" w:fill="auto"/>
            <w:vAlign w:val="center"/>
            <w:hideMark/>
          </w:tcPr>
          <w:p w14:paraId="2D5E1BE3" w14:textId="77777777" w:rsidR="00C25571" w:rsidRPr="009547F3" w:rsidRDefault="00C25571" w:rsidP="00C25571">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2162" w:type="dxa"/>
            <w:shd w:val="clear" w:color="auto" w:fill="auto"/>
            <w:vAlign w:val="center"/>
            <w:hideMark/>
          </w:tcPr>
          <w:p w14:paraId="0E6093AF" w14:textId="2E02CB91" w:rsidR="00C25571" w:rsidRPr="009547F3" w:rsidRDefault="00C25571" w:rsidP="00C25571">
            <w:pPr>
              <w:jc w:val="center"/>
              <w:rPr>
                <w:rFonts w:ascii="Arial" w:eastAsia="Times New Roman" w:hAnsi="Arial" w:cs="Arial"/>
                <w:color w:val="000000"/>
                <w:szCs w:val="20"/>
              </w:rPr>
            </w:pPr>
            <w:r w:rsidRPr="220979BF">
              <w:rPr>
                <w:rFonts w:ascii="Arial" w:eastAsia="Times New Roman" w:hAnsi="Arial" w:cs="Arial"/>
                <w:color w:val="000000"/>
                <w:szCs w:val="20"/>
              </w:rPr>
              <w:t>Information and referral services</w:t>
            </w:r>
          </w:p>
          <w:p w14:paraId="2A0E473D" w14:textId="77777777" w:rsidR="00C25571" w:rsidRPr="009547F3" w:rsidRDefault="00C25571" w:rsidP="00C25571">
            <w:pPr>
              <w:jc w:val="center"/>
              <w:rPr>
                <w:rFonts w:ascii="Arial" w:eastAsia="Times New Roman" w:hAnsi="Arial" w:cs="Arial"/>
                <w:color w:val="000000"/>
                <w:szCs w:val="20"/>
              </w:rPr>
            </w:pPr>
          </w:p>
        </w:tc>
        <w:tc>
          <w:tcPr>
            <w:tcW w:w="1190" w:type="dxa"/>
            <w:shd w:val="clear" w:color="auto" w:fill="auto"/>
            <w:vAlign w:val="center"/>
            <w:hideMark/>
          </w:tcPr>
          <w:p w14:paraId="00CFBE83" w14:textId="77777777" w:rsidR="00C25571" w:rsidRPr="009547F3" w:rsidRDefault="00C25571" w:rsidP="00C25571">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833" w:type="dxa"/>
            <w:shd w:val="clear" w:color="auto" w:fill="auto"/>
            <w:vAlign w:val="center"/>
            <w:hideMark/>
          </w:tcPr>
          <w:p w14:paraId="3CCC68C7" w14:textId="77777777" w:rsidR="00C25571" w:rsidRPr="009547F3" w:rsidRDefault="00C25571" w:rsidP="00C25571">
            <w:pPr>
              <w:jc w:val="center"/>
              <w:rPr>
                <w:rFonts w:ascii="Arial" w:eastAsia="Arial" w:hAnsi="Arial" w:cs="Arial"/>
                <w:szCs w:val="20"/>
              </w:rPr>
            </w:pPr>
            <w:r w:rsidRPr="220979BF">
              <w:rPr>
                <w:rFonts w:ascii="Arial" w:eastAsia="Arial" w:hAnsi="Arial" w:cs="Arial"/>
                <w:szCs w:val="20"/>
              </w:rPr>
              <w:t>Total number of calls to Santa Monica Office</w:t>
            </w:r>
          </w:p>
        </w:tc>
        <w:tc>
          <w:tcPr>
            <w:tcW w:w="1754" w:type="dxa"/>
            <w:shd w:val="clear" w:color="auto" w:fill="auto"/>
            <w:vAlign w:val="center"/>
            <w:hideMark/>
          </w:tcPr>
          <w:p w14:paraId="08DC7530" w14:textId="77777777" w:rsidR="00C25571" w:rsidRPr="009547F3" w:rsidRDefault="00C25571" w:rsidP="00C25571">
            <w:pPr>
              <w:jc w:val="center"/>
              <w:rPr>
                <w:rFonts w:ascii="Arial" w:eastAsia="Times New Roman" w:hAnsi="Arial" w:cs="Arial"/>
                <w:color w:val="000000"/>
                <w:szCs w:val="20"/>
              </w:rPr>
            </w:pPr>
            <w:r w:rsidRPr="6CB09153">
              <w:rPr>
                <w:rFonts w:ascii="Arial" w:eastAsia="Times New Roman" w:hAnsi="Arial" w:cs="Arial"/>
                <w:color w:val="000000"/>
                <w:szCs w:val="20"/>
              </w:rPr>
              <w:t>N/A</w:t>
            </w:r>
          </w:p>
        </w:tc>
        <w:tc>
          <w:tcPr>
            <w:tcW w:w="1672" w:type="dxa"/>
            <w:vAlign w:val="center"/>
          </w:tcPr>
          <w:p w14:paraId="2C02F180" w14:textId="117CAD90" w:rsidR="00C25571" w:rsidRDefault="00C25571" w:rsidP="00C25571">
            <w:pPr>
              <w:jc w:val="center"/>
              <w:rPr>
                <w:rFonts w:ascii="Arial" w:eastAsia="Times New Roman" w:hAnsi="Arial" w:cs="Arial"/>
                <w:color w:val="000000"/>
                <w:szCs w:val="20"/>
              </w:rPr>
            </w:pPr>
            <w:r w:rsidRPr="6CB09153">
              <w:rPr>
                <w:rFonts w:ascii="Arial" w:eastAsia="Times New Roman" w:hAnsi="Arial" w:cs="Arial"/>
                <w:color w:val="000000"/>
                <w:szCs w:val="20"/>
              </w:rPr>
              <w:t>Call center logs</w:t>
            </w:r>
          </w:p>
        </w:tc>
        <w:tc>
          <w:tcPr>
            <w:tcW w:w="1658" w:type="dxa"/>
          </w:tcPr>
          <w:p w14:paraId="57900393" w14:textId="78C4EBB7" w:rsidR="00C25571" w:rsidRDefault="00C25571" w:rsidP="00C25571">
            <w:pPr>
              <w:jc w:val="center"/>
              <w:rPr>
                <w:rFonts w:ascii="Arial" w:eastAsia="Times New Roman" w:hAnsi="Arial" w:cs="Arial"/>
                <w:color w:val="000000"/>
                <w:szCs w:val="20"/>
              </w:rPr>
            </w:pPr>
          </w:p>
          <w:p w14:paraId="61BE273B" w14:textId="1CD455C7" w:rsidR="00C25571" w:rsidRPr="6CB09153" w:rsidRDefault="00C25571" w:rsidP="00C25571">
            <w:pPr>
              <w:jc w:val="center"/>
              <w:rPr>
                <w:rFonts w:ascii="Arial" w:eastAsia="Times New Roman" w:hAnsi="Arial" w:cs="Arial"/>
                <w:color w:val="000000"/>
                <w:szCs w:val="20"/>
              </w:rPr>
            </w:pPr>
            <w:r>
              <w:rPr>
                <w:rFonts w:ascii="Arial" w:eastAsia="Times New Roman" w:hAnsi="Arial" w:cs="Arial"/>
                <w:color w:val="000000"/>
                <w:szCs w:val="20"/>
              </w:rPr>
              <w:t>3,427</w:t>
            </w:r>
          </w:p>
        </w:tc>
        <w:tc>
          <w:tcPr>
            <w:tcW w:w="1850" w:type="dxa"/>
            <w:shd w:val="clear" w:color="auto" w:fill="auto"/>
            <w:vAlign w:val="center"/>
            <w:hideMark/>
          </w:tcPr>
          <w:p w14:paraId="0C8857AE" w14:textId="133898EB" w:rsidR="00C25571" w:rsidRPr="009547F3" w:rsidRDefault="00E365BD" w:rsidP="00C25571">
            <w:pPr>
              <w:jc w:val="center"/>
              <w:rPr>
                <w:rFonts w:ascii="Arial" w:eastAsia="Times New Roman" w:hAnsi="Arial" w:cs="Arial"/>
                <w:color w:val="000000"/>
                <w:szCs w:val="20"/>
              </w:rPr>
            </w:pPr>
            <w:r>
              <w:rPr>
                <w:rFonts w:ascii="Arial" w:eastAsia="Times New Roman" w:hAnsi="Arial" w:cs="Arial"/>
                <w:color w:val="000000"/>
                <w:szCs w:val="20"/>
              </w:rPr>
              <w:t>7,073</w:t>
            </w:r>
          </w:p>
        </w:tc>
      </w:tr>
      <w:tr w:rsidR="00C25571" w:rsidRPr="009547F3" w14:paraId="1537BF01" w14:textId="77777777" w:rsidTr="000F4C53">
        <w:trPr>
          <w:trHeight w:val="718"/>
        </w:trPr>
        <w:tc>
          <w:tcPr>
            <w:tcW w:w="426" w:type="dxa"/>
            <w:vMerge w:val="restart"/>
            <w:shd w:val="clear" w:color="auto" w:fill="auto"/>
            <w:vAlign w:val="center"/>
            <w:hideMark/>
          </w:tcPr>
          <w:p w14:paraId="237DBC60" w14:textId="77777777" w:rsidR="00C25571" w:rsidRPr="009547F3" w:rsidRDefault="00C25571" w:rsidP="00C25571">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2162" w:type="dxa"/>
            <w:vMerge w:val="restart"/>
            <w:shd w:val="clear" w:color="auto" w:fill="auto"/>
            <w:vAlign w:val="center"/>
            <w:hideMark/>
          </w:tcPr>
          <w:p w14:paraId="29B082A6" w14:textId="77777777" w:rsidR="00C25571" w:rsidRPr="009547F3"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Individual legal services provided ranging from referrals to extended service in court or administrative hearings</w:t>
            </w:r>
          </w:p>
        </w:tc>
        <w:tc>
          <w:tcPr>
            <w:tcW w:w="1190" w:type="dxa"/>
            <w:shd w:val="clear" w:color="auto" w:fill="auto"/>
            <w:vAlign w:val="center"/>
            <w:hideMark/>
          </w:tcPr>
          <w:p w14:paraId="7390D0A0" w14:textId="77777777" w:rsidR="00C25571" w:rsidRPr="009547F3" w:rsidRDefault="00C25571" w:rsidP="00C25571">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833" w:type="dxa"/>
            <w:shd w:val="clear" w:color="auto" w:fill="auto"/>
            <w:vAlign w:val="center"/>
            <w:hideMark/>
          </w:tcPr>
          <w:p w14:paraId="15A07E6B" w14:textId="77777777" w:rsidR="00C25571" w:rsidRPr="009547F3" w:rsidRDefault="00C25571" w:rsidP="00C25571">
            <w:pPr>
              <w:jc w:val="center"/>
              <w:rPr>
                <w:rFonts w:ascii="Arial" w:eastAsia="Times New Roman" w:hAnsi="Arial" w:cs="Arial"/>
                <w:color w:val="000000"/>
                <w:szCs w:val="20"/>
              </w:rPr>
            </w:pPr>
            <w:r w:rsidRPr="6CB09153">
              <w:rPr>
                <w:rFonts w:ascii="Arial" w:eastAsia="Times New Roman" w:hAnsi="Arial" w:cs="Arial"/>
                <w:color w:val="000000"/>
                <w:szCs w:val="20"/>
              </w:rPr>
              <w:t>Total number of cases (active and closed)</w:t>
            </w:r>
          </w:p>
        </w:tc>
        <w:tc>
          <w:tcPr>
            <w:tcW w:w="1754" w:type="dxa"/>
            <w:shd w:val="clear" w:color="auto" w:fill="auto"/>
            <w:vAlign w:val="center"/>
            <w:hideMark/>
          </w:tcPr>
          <w:p w14:paraId="491E7EC0" w14:textId="77777777" w:rsidR="00C25571" w:rsidRPr="009547F3" w:rsidRDefault="00C25571" w:rsidP="00C25571">
            <w:pPr>
              <w:jc w:val="center"/>
              <w:rPr>
                <w:rFonts w:ascii="Arial" w:eastAsia="Times New Roman" w:hAnsi="Arial" w:cs="Arial"/>
                <w:color w:val="000000"/>
                <w:szCs w:val="20"/>
              </w:rPr>
            </w:pPr>
            <w:r w:rsidRPr="3E262EA7">
              <w:rPr>
                <w:rFonts w:ascii="Arial" w:eastAsia="Times New Roman" w:hAnsi="Arial" w:cs="Arial"/>
                <w:color w:val="000000"/>
                <w:szCs w:val="20"/>
              </w:rPr>
              <w:t>925</w:t>
            </w:r>
          </w:p>
        </w:tc>
        <w:tc>
          <w:tcPr>
            <w:tcW w:w="1672" w:type="dxa"/>
            <w:vAlign w:val="center"/>
          </w:tcPr>
          <w:p w14:paraId="292DFF85" w14:textId="771B3265"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client case management system</w:t>
            </w:r>
          </w:p>
        </w:tc>
        <w:tc>
          <w:tcPr>
            <w:tcW w:w="1658" w:type="dxa"/>
          </w:tcPr>
          <w:p w14:paraId="1C67877F" w14:textId="58C36514" w:rsidR="00C25571" w:rsidRDefault="00C25571" w:rsidP="00C25571">
            <w:pPr>
              <w:jc w:val="center"/>
              <w:rPr>
                <w:rFonts w:ascii="Arial" w:eastAsia="Times New Roman" w:hAnsi="Arial" w:cs="Arial"/>
                <w:color w:val="000000"/>
                <w:szCs w:val="20"/>
              </w:rPr>
            </w:pPr>
          </w:p>
          <w:p w14:paraId="443EF692" w14:textId="50FFDAE4" w:rsidR="00C25571" w:rsidRPr="601725FD" w:rsidRDefault="00C25571" w:rsidP="00C25571">
            <w:pPr>
              <w:jc w:val="center"/>
              <w:rPr>
                <w:rFonts w:ascii="Arial" w:eastAsia="Times New Roman" w:hAnsi="Arial" w:cs="Arial"/>
                <w:color w:val="000000"/>
                <w:szCs w:val="20"/>
              </w:rPr>
            </w:pPr>
            <w:r>
              <w:rPr>
                <w:rFonts w:ascii="Arial" w:eastAsia="Times New Roman" w:hAnsi="Arial" w:cs="Arial"/>
                <w:color w:val="000000"/>
                <w:szCs w:val="20"/>
              </w:rPr>
              <w:t>453</w:t>
            </w:r>
          </w:p>
        </w:tc>
        <w:tc>
          <w:tcPr>
            <w:tcW w:w="1850" w:type="dxa"/>
            <w:shd w:val="clear" w:color="auto" w:fill="auto"/>
            <w:vAlign w:val="center"/>
            <w:hideMark/>
          </w:tcPr>
          <w:p w14:paraId="31F16836" w14:textId="28FC9D4B" w:rsidR="00C25571" w:rsidRPr="009547F3" w:rsidRDefault="002C3390" w:rsidP="00C25571">
            <w:pPr>
              <w:jc w:val="center"/>
              <w:rPr>
                <w:rFonts w:ascii="Arial" w:eastAsia="Times New Roman" w:hAnsi="Arial" w:cs="Arial"/>
                <w:color w:val="000000"/>
                <w:szCs w:val="20"/>
              </w:rPr>
            </w:pPr>
            <w:r>
              <w:rPr>
                <w:rFonts w:ascii="Arial" w:eastAsia="Times New Roman" w:hAnsi="Arial" w:cs="Arial"/>
                <w:color w:val="000000"/>
                <w:szCs w:val="20"/>
              </w:rPr>
              <w:t>824</w:t>
            </w:r>
          </w:p>
        </w:tc>
      </w:tr>
      <w:tr w:rsidR="00C25571" w14:paraId="7A188C0B" w14:textId="77777777" w:rsidTr="00430A7E">
        <w:trPr>
          <w:trHeight w:val="718"/>
        </w:trPr>
        <w:tc>
          <w:tcPr>
            <w:tcW w:w="426" w:type="dxa"/>
            <w:vMerge/>
            <w:vAlign w:val="center"/>
            <w:hideMark/>
          </w:tcPr>
          <w:p w14:paraId="16A7459C" w14:textId="77777777" w:rsidR="00C25571" w:rsidRDefault="00C25571" w:rsidP="00C25571"/>
        </w:tc>
        <w:tc>
          <w:tcPr>
            <w:tcW w:w="2162" w:type="dxa"/>
            <w:vMerge/>
            <w:vAlign w:val="center"/>
            <w:hideMark/>
          </w:tcPr>
          <w:p w14:paraId="2A2626A6" w14:textId="77777777" w:rsidR="00C25571" w:rsidRDefault="00C25571" w:rsidP="00C25571"/>
        </w:tc>
        <w:tc>
          <w:tcPr>
            <w:tcW w:w="1190" w:type="dxa"/>
            <w:shd w:val="clear" w:color="auto" w:fill="auto"/>
            <w:vAlign w:val="center"/>
            <w:hideMark/>
          </w:tcPr>
          <w:p w14:paraId="14A571E5" w14:textId="77777777" w:rsidR="00C25571" w:rsidRDefault="00C25571" w:rsidP="00C25571">
            <w:pPr>
              <w:jc w:val="center"/>
              <w:rPr>
                <w:rFonts w:ascii="Arial" w:eastAsia="Times New Roman" w:hAnsi="Arial" w:cs="Arial"/>
                <w:color w:val="000000"/>
                <w:szCs w:val="20"/>
              </w:rPr>
            </w:pPr>
            <w:r w:rsidRPr="522C37D2">
              <w:rPr>
                <w:rFonts w:ascii="Arial" w:eastAsia="Times New Roman" w:hAnsi="Arial" w:cs="Arial"/>
                <w:color w:val="000000"/>
                <w:szCs w:val="20"/>
              </w:rPr>
              <w:t>Output</w:t>
            </w:r>
          </w:p>
        </w:tc>
        <w:tc>
          <w:tcPr>
            <w:tcW w:w="2833" w:type="dxa"/>
            <w:shd w:val="clear" w:color="auto" w:fill="auto"/>
            <w:vAlign w:val="center"/>
            <w:hideMark/>
          </w:tcPr>
          <w:p w14:paraId="2A0F0B86" w14:textId="77777777" w:rsidR="00C25571" w:rsidRDefault="00C25571" w:rsidP="00C25571">
            <w:pPr>
              <w:jc w:val="center"/>
              <w:rPr>
                <w:rFonts w:ascii="Arial" w:eastAsia="Times New Roman" w:hAnsi="Arial" w:cs="Arial"/>
                <w:color w:val="000000"/>
                <w:szCs w:val="20"/>
              </w:rPr>
            </w:pPr>
            <w:r w:rsidRPr="522C37D2">
              <w:rPr>
                <w:rFonts w:ascii="Arial" w:eastAsia="Times New Roman" w:hAnsi="Arial" w:cs="Arial"/>
                <w:color w:val="000000"/>
                <w:szCs w:val="20"/>
              </w:rPr>
              <w:t>Total number of unduplicated clients receiving any services</w:t>
            </w:r>
          </w:p>
        </w:tc>
        <w:tc>
          <w:tcPr>
            <w:tcW w:w="1754" w:type="dxa"/>
            <w:shd w:val="clear" w:color="auto" w:fill="auto"/>
            <w:vAlign w:val="center"/>
            <w:hideMark/>
          </w:tcPr>
          <w:p w14:paraId="1E39E966" w14:textId="77777777"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850</w:t>
            </w:r>
          </w:p>
        </w:tc>
        <w:tc>
          <w:tcPr>
            <w:tcW w:w="1672" w:type="dxa"/>
            <w:vAlign w:val="center"/>
          </w:tcPr>
          <w:p w14:paraId="696938A9" w14:textId="77777777"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client case management system</w:t>
            </w:r>
          </w:p>
          <w:p w14:paraId="45335415" w14:textId="77777777" w:rsidR="00C25571" w:rsidRDefault="00C25571" w:rsidP="00C25571">
            <w:pPr>
              <w:jc w:val="center"/>
              <w:rPr>
                <w:rFonts w:ascii="Arial" w:eastAsia="Times New Roman" w:hAnsi="Arial" w:cs="Arial"/>
                <w:color w:val="000000"/>
                <w:szCs w:val="20"/>
              </w:rPr>
            </w:pPr>
          </w:p>
        </w:tc>
        <w:tc>
          <w:tcPr>
            <w:tcW w:w="1658" w:type="dxa"/>
            <w:vAlign w:val="center"/>
          </w:tcPr>
          <w:p w14:paraId="64DB77EB" w14:textId="03C6D7E2" w:rsidR="00C25571" w:rsidRPr="601725FD" w:rsidRDefault="00C25571" w:rsidP="00430A7E">
            <w:pPr>
              <w:jc w:val="center"/>
              <w:rPr>
                <w:rFonts w:ascii="Arial" w:eastAsia="Times New Roman" w:hAnsi="Arial" w:cs="Arial"/>
                <w:color w:val="000000"/>
                <w:szCs w:val="20"/>
              </w:rPr>
            </w:pPr>
            <w:r>
              <w:rPr>
                <w:rFonts w:ascii="Arial" w:eastAsia="Times New Roman" w:hAnsi="Arial" w:cs="Arial"/>
                <w:color w:val="000000"/>
                <w:szCs w:val="20"/>
              </w:rPr>
              <w:t>410</w:t>
            </w:r>
          </w:p>
        </w:tc>
        <w:tc>
          <w:tcPr>
            <w:tcW w:w="1850" w:type="dxa"/>
            <w:shd w:val="clear" w:color="auto" w:fill="auto"/>
            <w:vAlign w:val="center"/>
            <w:hideMark/>
          </w:tcPr>
          <w:p w14:paraId="73C57B4F" w14:textId="67A43AFD" w:rsidR="00C25571" w:rsidRDefault="002C3390" w:rsidP="00DA33BE">
            <w:pPr>
              <w:jc w:val="center"/>
              <w:rPr>
                <w:rFonts w:ascii="Arial" w:eastAsia="Times New Roman" w:hAnsi="Arial" w:cs="Arial"/>
                <w:color w:val="000000"/>
                <w:szCs w:val="20"/>
              </w:rPr>
            </w:pPr>
            <w:r>
              <w:rPr>
                <w:rFonts w:ascii="Arial" w:eastAsia="Times New Roman" w:hAnsi="Arial" w:cs="Arial"/>
                <w:color w:val="000000"/>
                <w:szCs w:val="20"/>
              </w:rPr>
              <w:t>705</w:t>
            </w:r>
          </w:p>
        </w:tc>
      </w:tr>
      <w:tr w:rsidR="00C25571" w:rsidRPr="009547F3" w14:paraId="02A6EB35" w14:textId="77777777" w:rsidTr="00430A7E">
        <w:trPr>
          <w:trHeight w:val="898"/>
        </w:trPr>
        <w:tc>
          <w:tcPr>
            <w:tcW w:w="426" w:type="dxa"/>
            <w:vMerge/>
            <w:vAlign w:val="center"/>
            <w:hideMark/>
          </w:tcPr>
          <w:p w14:paraId="1AC17610" w14:textId="77777777" w:rsidR="00C25571" w:rsidRPr="009547F3" w:rsidRDefault="00C25571" w:rsidP="00C25571">
            <w:pPr>
              <w:rPr>
                <w:rFonts w:ascii="Arial" w:eastAsia="Times New Roman" w:hAnsi="Arial" w:cs="Arial"/>
                <w:color w:val="000000"/>
                <w:szCs w:val="20"/>
              </w:rPr>
            </w:pPr>
          </w:p>
        </w:tc>
        <w:tc>
          <w:tcPr>
            <w:tcW w:w="2162" w:type="dxa"/>
            <w:vMerge/>
            <w:vAlign w:val="center"/>
            <w:hideMark/>
          </w:tcPr>
          <w:p w14:paraId="0ADB053A" w14:textId="77777777" w:rsidR="00C25571" w:rsidRPr="009547F3" w:rsidRDefault="00C25571" w:rsidP="00C25571">
            <w:pPr>
              <w:rPr>
                <w:rFonts w:ascii="Arial" w:eastAsia="Times New Roman" w:hAnsi="Arial" w:cs="Arial"/>
                <w:color w:val="000000"/>
                <w:szCs w:val="20"/>
              </w:rPr>
            </w:pPr>
          </w:p>
        </w:tc>
        <w:tc>
          <w:tcPr>
            <w:tcW w:w="1190" w:type="dxa"/>
            <w:shd w:val="clear" w:color="auto" w:fill="auto"/>
            <w:vAlign w:val="center"/>
            <w:hideMark/>
          </w:tcPr>
          <w:p w14:paraId="0F644B81" w14:textId="77777777" w:rsidR="00C25571" w:rsidRPr="009547F3"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Outcome</w:t>
            </w:r>
          </w:p>
        </w:tc>
        <w:tc>
          <w:tcPr>
            <w:tcW w:w="2833" w:type="dxa"/>
            <w:shd w:val="clear" w:color="auto" w:fill="auto"/>
            <w:vAlign w:val="center"/>
            <w:hideMark/>
          </w:tcPr>
          <w:p w14:paraId="15B147A4" w14:textId="77777777" w:rsidR="00C25571" w:rsidRPr="00A62F28" w:rsidRDefault="00C25571" w:rsidP="00C25571">
            <w:pPr>
              <w:jc w:val="center"/>
              <w:rPr>
                <w:rFonts w:ascii="Arial" w:eastAsia="Times New Roman" w:hAnsi="Arial" w:cs="Arial"/>
                <w:color w:val="FF0000"/>
                <w:szCs w:val="20"/>
                <w:highlight w:val="yellow"/>
              </w:rPr>
            </w:pPr>
            <w:r w:rsidRPr="1BF20A34">
              <w:rPr>
                <w:rFonts w:ascii="Arial" w:eastAsia="Times New Roman" w:hAnsi="Arial" w:cs="Arial"/>
                <w:color w:val="000000"/>
                <w:szCs w:val="20"/>
              </w:rPr>
              <w:t xml:space="preserve"> </w:t>
            </w:r>
            <w:r w:rsidRPr="3E262EA7">
              <w:rPr>
                <w:rFonts w:ascii="Arial" w:eastAsia="Times New Roman" w:hAnsi="Arial" w:cs="Arial"/>
                <w:szCs w:val="20"/>
              </w:rPr>
              <w:t>% of closed cases with positive outcomes</w:t>
            </w:r>
          </w:p>
        </w:tc>
        <w:tc>
          <w:tcPr>
            <w:tcW w:w="1754" w:type="dxa"/>
            <w:shd w:val="clear" w:color="auto" w:fill="auto"/>
            <w:vAlign w:val="center"/>
            <w:hideMark/>
          </w:tcPr>
          <w:p w14:paraId="4D1625C2" w14:textId="77777777" w:rsidR="00C25571" w:rsidRPr="009547F3" w:rsidRDefault="00C25571" w:rsidP="00C25571">
            <w:pPr>
              <w:jc w:val="center"/>
              <w:rPr>
                <w:rFonts w:ascii="Arial" w:eastAsia="Times New Roman" w:hAnsi="Arial" w:cs="Arial"/>
                <w:color w:val="000000"/>
                <w:szCs w:val="20"/>
              </w:rPr>
            </w:pPr>
            <w:r w:rsidRPr="3E262EA7">
              <w:rPr>
                <w:rFonts w:ascii="Arial" w:eastAsia="Times New Roman" w:hAnsi="Arial" w:cs="Arial"/>
                <w:color w:val="000000"/>
                <w:szCs w:val="20"/>
              </w:rPr>
              <w:t>85%</w:t>
            </w:r>
          </w:p>
        </w:tc>
        <w:tc>
          <w:tcPr>
            <w:tcW w:w="1672" w:type="dxa"/>
            <w:vAlign w:val="center"/>
          </w:tcPr>
          <w:p w14:paraId="04AFA1DC" w14:textId="77777777" w:rsidR="00C25571" w:rsidRPr="009547F3"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client case management system</w:t>
            </w:r>
          </w:p>
          <w:p w14:paraId="3AB2D5D4" w14:textId="77777777" w:rsidR="00C25571" w:rsidRDefault="00C25571" w:rsidP="00C25571">
            <w:pPr>
              <w:jc w:val="center"/>
              <w:rPr>
                <w:rFonts w:ascii="Arial" w:eastAsia="Times New Roman" w:hAnsi="Arial" w:cs="Arial"/>
                <w:color w:val="000000"/>
                <w:szCs w:val="20"/>
              </w:rPr>
            </w:pPr>
          </w:p>
        </w:tc>
        <w:tc>
          <w:tcPr>
            <w:tcW w:w="1658" w:type="dxa"/>
            <w:vAlign w:val="center"/>
          </w:tcPr>
          <w:p w14:paraId="6F575BC9" w14:textId="68AA213C" w:rsidR="00C25571" w:rsidRPr="601725FD" w:rsidRDefault="00C25571" w:rsidP="00430A7E">
            <w:pPr>
              <w:jc w:val="center"/>
              <w:rPr>
                <w:rFonts w:ascii="Arial" w:eastAsia="Times New Roman" w:hAnsi="Arial" w:cs="Arial"/>
                <w:color w:val="000000"/>
                <w:szCs w:val="20"/>
              </w:rPr>
            </w:pPr>
            <w:r>
              <w:rPr>
                <w:rFonts w:ascii="Arial" w:eastAsia="Times New Roman" w:hAnsi="Arial" w:cs="Arial"/>
                <w:color w:val="000000"/>
                <w:szCs w:val="20"/>
              </w:rPr>
              <w:t>100%</w:t>
            </w:r>
          </w:p>
        </w:tc>
        <w:tc>
          <w:tcPr>
            <w:tcW w:w="1850" w:type="dxa"/>
            <w:shd w:val="clear" w:color="auto" w:fill="auto"/>
            <w:vAlign w:val="center"/>
            <w:hideMark/>
          </w:tcPr>
          <w:p w14:paraId="65B372BE" w14:textId="1C65E0EB" w:rsidR="00C25571" w:rsidRPr="009547F3" w:rsidRDefault="001533D5" w:rsidP="00C25571">
            <w:pPr>
              <w:jc w:val="center"/>
              <w:rPr>
                <w:rFonts w:ascii="Arial" w:eastAsia="Times New Roman" w:hAnsi="Arial" w:cs="Arial"/>
                <w:color w:val="000000"/>
                <w:szCs w:val="20"/>
              </w:rPr>
            </w:pPr>
            <w:r>
              <w:rPr>
                <w:rFonts w:ascii="Arial" w:eastAsia="Times New Roman" w:hAnsi="Arial" w:cs="Arial"/>
                <w:color w:val="000000"/>
                <w:szCs w:val="20"/>
              </w:rPr>
              <w:t>100%</w:t>
            </w:r>
          </w:p>
          <w:p w14:paraId="3045D91D" w14:textId="77777777" w:rsidR="00C25571" w:rsidRPr="009547F3" w:rsidRDefault="00C25571" w:rsidP="00C25571">
            <w:pPr>
              <w:jc w:val="center"/>
              <w:rPr>
                <w:rFonts w:ascii="Arial" w:eastAsia="Times New Roman" w:hAnsi="Arial" w:cs="Arial"/>
                <w:color w:val="000000"/>
                <w:szCs w:val="20"/>
              </w:rPr>
            </w:pPr>
          </w:p>
        </w:tc>
      </w:tr>
      <w:tr w:rsidR="00C25571" w14:paraId="4E3C0B37" w14:textId="77777777" w:rsidTr="00430A7E">
        <w:trPr>
          <w:trHeight w:val="880"/>
        </w:trPr>
        <w:tc>
          <w:tcPr>
            <w:tcW w:w="426" w:type="dxa"/>
            <w:vMerge w:val="restart"/>
            <w:shd w:val="clear" w:color="auto" w:fill="auto"/>
            <w:vAlign w:val="center"/>
            <w:hideMark/>
          </w:tcPr>
          <w:p w14:paraId="5899F02C" w14:textId="77777777" w:rsidR="00C25571" w:rsidRDefault="00C25571" w:rsidP="00C25571">
            <w:pPr>
              <w:jc w:val="center"/>
              <w:rPr>
                <w:rFonts w:ascii="Arial" w:eastAsia="Times New Roman" w:hAnsi="Arial" w:cs="Arial"/>
                <w:color w:val="000000"/>
                <w:szCs w:val="20"/>
              </w:rPr>
            </w:pPr>
            <w:r w:rsidRPr="522C37D2">
              <w:rPr>
                <w:rFonts w:ascii="Arial" w:eastAsia="Times New Roman" w:hAnsi="Arial" w:cs="Arial"/>
                <w:color w:val="000000"/>
                <w:szCs w:val="20"/>
              </w:rPr>
              <w:t>3</w:t>
            </w:r>
          </w:p>
        </w:tc>
        <w:tc>
          <w:tcPr>
            <w:tcW w:w="2162" w:type="dxa"/>
            <w:vMerge w:val="restart"/>
            <w:shd w:val="clear" w:color="auto" w:fill="auto"/>
            <w:vAlign w:val="center"/>
            <w:hideMark/>
          </w:tcPr>
          <w:p w14:paraId="249FB05D" w14:textId="3BDD6F7C" w:rsidR="00C25571" w:rsidRDefault="00C25571" w:rsidP="00C25571">
            <w:pPr>
              <w:jc w:val="center"/>
              <w:rPr>
                <w:rFonts w:ascii="Arial" w:eastAsia="Arial" w:hAnsi="Arial" w:cs="Arial"/>
                <w:color w:val="000000"/>
                <w:szCs w:val="20"/>
              </w:rPr>
            </w:pPr>
            <w:r w:rsidRPr="220979BF">
              <w:rPr>
                <w:rFonts w:ascii="Arial" w:eastAsia="Arial" w:hAnsi="Arial" w:cs="Arial"/>
                <w:color w:val="000000"/>
                <w:szCs w:val="20"/>
              </w:rPr>
              <w:t xml:space="preserve">Legal Education and trainings to community and Santa Monica social service agencies </w:t>
            </w:r>
          </w:p>
        </w:tc>
        <w:tc>
          <w:tcPr>
            <w:tcW w:w="1190" w:type="dxa"/>
            <w:shd w:val="clear" w:color="auto" w:fill="auto"/>
            <w:vAlign w:val="center"/>
            <w:hideMark/>
          </w:tcPr>
          <w:p w14:paraId="1D3DAB3E" w14:textId="77777777" w:rsidR="00C25571" w:rsidRDefault="00C25571" w:rsidP="00C25571">
            <w:pPr>
              <w:jc w:val="center"/>
              <w:rPr>
                <w:rFonts w:ascii="Arial" w:eastAsia="Times New Roman" w:hAnsi="Arial" w:cs="Arial"/>
                <w:color w:val="000000"/>
                <w:szCs w:val="20"/>
              </w:rPr>
            </w:pPr>
            <w:r w:rsidRPr="6CB09153">
              <w:rPr>
                <w:rFonts w:ascii="Arial" w:eastAsia="Times New Roman" w:hAnsi="Arial" w:cs="Arial"/>
                <w:color w:val="000000"/>
                <w:szCs w:val="20"/>
              </w:rPr>
              <w:t>Output</w:t>
            </w:r>
          </w:p>
          <w:p w14:paraId="61DF19A0" w14:textId="77777777" w:rsidR="00C25571" w:rsidRDefault="00C25571" w:rsidP="00C25571">
            <w:pPr>
              <w:jc w:val="center"/>
              <w:rPr>
                <w:rFonts w:ascii="Arial" w:eastAsia="Times New Roman" w:hAnsi="Arial" w:cs="Arial"/>
                <w:color w:val="000000"/>
                <w:szCs w:val="20"/>
              </w:rPr>
            </w:pPr>
          </w:p>
        </w:tc>
        <w:tc>
          <w:tcPr>
            <w:tcW w:w="2833" w:type="dxa"/>
            <w:shd w:val="clear" w:color="auto" w:fill="auto"/>
            <w:vAlign w:val="center"/>
            <w:hideMark/>
          </w:tcPr>
          <w:p w14:paraId="46E7007E" w14:textId="77777777" w:rsidR="00C25571" w:rsidRDefault="00C25571" w:rsidP="00C25571">
            <w:pPr>
              <w:jc w:val="center"/>
              <w:rPr>
                <w:rFonts w:ascii="Arial" w:eastAsia="Times New Roman" w:hAnsi="Arial" w:cs="Arial"/>
                <w:color w:val="000000"/>
                <w:szCs w:val="20"/>
              </w:rPr>
            </w:pPr>
            <w:r w:rsidRPr="6CB09153">
              <w:rPr>
                <w:rFonts w:ascii="Arial" w:eastAsia="Times New Roman" w:hAnsi="Arial" w:cs="Arial"/>
                <w:color w:val="000000"/>
                <w:szCs w:val="20"/>
              </w:rPr>
              <w:t>Number trainings held (community members and service providers)</w:t>
            </w:r>
          </w:p>
        </w:tc>
        <w:tc>
          <w:tcPr>
            <w:tcW w:w="1754" w:type="dxa"/>
            <w:shd w:val="clear" w:color="auto" w:fill="auto"/>
            <w:vAlign w:val="center"/>
            <w:hideMark/>
          </w:tcPr>
          <w:p w14:paraId="270AB4CC" w14:textId="77777777"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3</w:t>
            </w:r>
          </w:p>
        </w:tc>
        <w:tc>
          <w:tcPr>
            <w:tcW w:w="1672" w:type="dxa"/>
            <w:vAlign w:val="center"/>
          </w:tcPr>
          <w:p w14:paraId="60E12F11" w14:textId="77777777"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client case management system</w:t>
            </w:r>
          </w:p>
          <w:p w14:paraId="17E15D2A" w14:textId="77777777" w:rsidR="00C25571" w:rsidRDefault="00C25571" w:rsidP="00C25571">
            <w:pPr>
              <w:jc w:val="center"/>
              <w:rPr>
                <w:rFonts w:ascii="Arial" w:eastAsia="Times New Roman" w:hAnsi="Arial" w:cs="Arial"/>
                <w:color w:val="000000"/>
                <w:szCs w:val="20"/>
              </w:rPr>
            </w:pPr>
          </w:p>
        </w:tc>
        <w:tc>
          <w:tcPr>
            <w:tcW w:w="1658" w:type="dxa"/>
            <w:vAlign w:val="center"/>
          </w:tcPr>
          <w:p w14:paraId="4A007433" w14:textId="0670538F" w:rsidR="00C25571" w:rsidRPr="601725FD" w:rsidRDefault="00C25571" w:rsidP="00430A7E">
            <w:pPr>
              <w:jc w:val="center"/>
              <w:rPr>
                <w:rFonts w:ascii="Arial" w:eastAsia="Times New Roman" w:hAnsi="Arial" w:cs="Arial"/>
                <w:color w:val="000000"/>
                <w:szCs w:val="20"/>
              </w:rPr>
            </w:pPr>
            <w:r>
              <w:rPr>
                <w:rFonts w:ascii="Arial" w:eastAsia="Times New Roman" w:hAnsi="Arial" w:cs="Arial"/>
                <w:color w:val="000000"/>
                <w:szCs w:val="20"/>
              </w:rPr>
              <w:t>4</w:t>
            </w:r>
          </w:p>
        </w:tc>
        <w:tc>
          <w:tcPr>
            <w:tcW w:w="1850" w:type="dxa"/>
            <w:shd w:val="clear" w:color="auto" w:fill="auto"/>
            <w:vAlign w:val="center"/>
            <w:hideMark/>
          </w:tcPr>
          <w:p w14:paraId="60C6B379" w14:textId="0EB46590" w:rsidR="00C25571" w:rsidRDefault="00430A7E" w:rsidP="00C25571">
            <w:pPr>
              <w:jc w:val="center"/>
              <w:rPr>
                <w:rFonts w:ascii="Arial" w:eastAsia="Times New Roman" w:hAnsi="Arial" w:cs="Arial"/>
                <w:color w:val="000000"/>
                <w:szCs w:val="20"/>
              </w:rPr>
            </w:pPr>
            <w:r>
              <w:rPr>
                <w:rFonts w:ascii="Arial" w:eastAsia="Times New Roman" w:hAnsi="Arial" w:cs="Arial"/>
                <w:color w:val="000000"/>
                <w:szCs w:val="20"/>
              </w:rPr>
              <w:t>4</w:t>
            </w:r>
          </w:p>
          <w:p w14:paraId="41E02018" w14:textId="77777777" w:rsidR="00C25571" w:rsidRDefault="00C25571" w:rsidP="00C25571">
            <w:pPr>
              <w:jc w:val="center"/>
              <w:rPr>
                <w:rFonts w:ascii="Arial" w:eastAsia="Times New Roman" w:hAnsi="Arial" w:cs="Arial"/>
                <w:color w:val="000000"/>
                <w:szCs w:val="20"/>
              </w:rPr>
            </w:pPr>
          </w:p>
        </w:tc>
      </w:tr>
      <w:tr w:rsidR="00C25571" w14:paraId="0B086315" w14:textId="77777777" w:rsidTr="00430A7E">
        <w:trPr>
          <w:trHeight w:val="880"/>
        </w:trPr>
        <w:tc>
          <w:tcPr>
            <w:tcW w:w="426" w:type="dxa"/>
            <w:vMerge/>
            <w:vAlign w:val="center"/>
            <w:hideMark/>
          </w:tcPr>
          <w:p w14:paraId="7087164B" w14:textId="77777777" w:rsidR="00C25571" w:rsidRDefault="00C25571" w:rsidP="00C25571">
            <w:pPr>
              <w:jc w:val="center"/>
              <w:rPr>
                <w:rFonts w:ascii="Arial" w:eastAsia="Times New Roman" w:hAnsi="Arial" w:cs="Arial"/>
                <w:color w:val="000000"/>
                <w:szCs w:val="20"/>
              </w:rPr>
            </w:pPr>
          </w:p>
        </w:tc>
        <w:tc>
          <w:tcPr>
            <w:tcW w:w="2162" w:type="dxa"/>
            <w:vMerge/>
            <w:vAlign w:val="center"/>
            <w:hideMark/>
          </w:tcPr>
          <w:p w14:paraId="096F28DF" w14:textId="77777777" w:rsidR="00C25571" w:rsidRDefault="00C25571" w:rsidP="00C25571"/>
        </w:tc>
        <w:tc>
          <w:tcPr>
            <w:tcW w:w="1190" w:type="dxa"/>
            <w:shd w:val="clear" w:color="auto" w:fill="auto"/>
            <w:vAlign w:val="center"/>
            <w:hideMark/>
          </w:tcPr>
          <w:p w14:paraId="087F9C9A" w14:textId="77777777" w:rsidR="00C25571" w:rsidRDefault="00C25571" w:rsidP="00C25571">
            <w:pPr>
              <w:jc w:val="center"/>
              <w:rPr>
                <w:rFonts w:ascii="Arial" w:eastAsia="Times New Roman" w:hAnsi="Arial" w:cs="Arial"/>
                <w:color w:val="000000"/>
                <w:szCs w:val="20"/>
              </w:rPr>
            </w:pPr>
            <w:r w:rsidRPr="6CB09153">
              <w:rPr>
                <w:rFonts w:ascii="Arial" w:eastAsia="Times New Roman" w:hAnsi="Arial" w:cs="Arial"/>
                <w:color w:val="000000"/>
                <w:szCs w:val="20"/>
              </w:rPr>
              <w:t>Output</w:t>
            </w:r>
          </w:p>
        </w:tc>
        <w:tc>
          <w:tcPr>
            <w:tcW w:w="2833" w:type="dxa"/>
            <w:shd w:val="clear" w:color="auto" w:fill="auto"/>
            <w:vAlign w:val="center"/>
            <w:hideMark/>
          </w:tcPr>
          <w:p w14:paraId="22A76C28" w14:textId="77777777" w:rsidR="00C25571" w:rsidRDefault="00C25571" w:rsidP="00C25571">
            <w:pPr>
              <w:jc w:val="center"/>
              <w:rPr>
                <w:rFonts w:ascii="Arial" w:eastAsia="Times New Roman" w:hAnsi="Arial" w:cs="Arial"/>
                <w:color w:val="000000"/>
                <w:szCs w:val="20"/>
              </w:rPr>
            </w:pPr>
            <w:r w:rsidRPr="220979BF">
              <w:rPr>
                <w:rFonts w:ascii="Arial" w:eastAsia="Times New Roman" w:hAnsi="Arial" w:cs="Arial"/>
                <w:color w:val="000000"/>
                <w:szCs w:val="20"/>
              </w:rPr>
              <w:t>Number people trained (community members and service providers)</w:t>
            </w:r>
          </w:p>
        </w:tc>
        <w:tc>
          <w:tcPr>
            <w:tcW w:w="1754" w:type="dxa"/>
            <w:shd w:val="clear" w:color="auto" w:fill="auto"/>
            <w:vAlign w:val="center"/>
            <w:hideMark/>
          </w:tcPr>
          <w:p w14:paraId="0BECF474" w14:textId="77777777"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100</w:t>
            </w:r>
          </w:p>
        </w:tc>
        <w:tc>
          <w:tcPr>
            <w:tcW w:w="1672" w:type="dxa"/>
            <w:vAlign w:val="center"/>
          </w:tcPr>
          <w:p w14:paraId="39D77738" w14:textId="77777777"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Sign-in sheets</w:t>
            </w:r>
          </w:p>
          <w:p w14:paraId="054A6530" w14:textId="1A05633B" w:rsidR="00C25571" w:rsidRDefault="00C25571" w:rsidP="00C25571">
            <w:pPr>
              <w:jc w:val="center"/>
              <w:rPr>
                <w:rFonts w:ascii="Arial" w:eastAsia="Times New Roman" w:hAnsi="Arial" w:cs="Arial"/>
                <w:color w:val="000000"/>
                <w:szCs w:val="20"/>
              </w:rPr>
            </w:pPr>
            <w:r w:rsidRPr="601725FD">
              <w:rPr>
                <w:rFonts w:ascii="Arial" w:eastAsia="Times New Roman" w:hAnsi="Arial" w:cs="Arial"/>
                <w:color w:val="000000"/>
                <w:szCs w:val="20"/>
              </w:rPr>
              <w:t>Webinar attendance records</w:t>
            </w:r>
          </w:p>
        </w:tc>
        <w:tc>
          <w:tcPr>
            <w:tcW w:w="1658" w:type="dxa"/>
            <w:vAlign w:val="center"/>
          </w:tcPr>
          <w:p w14:paraId="669645AA" w14:textId="2F1E97A1" w:rsidR="00C25571" w:rsidRPr="601725FD" w:rsidRDefault="00C25571" w:rsidP="00430A7E">
            <w:pPr>
              <w:jc w:val="center"/>
              <w:rPr>
                <w:rFonts w:ascii="Arial" w:eastAsia="Times New Roman" w:hAnsi="Arial" w:cs="Arial"/>
                <w:color w:val="000000"/>
                <w:szCs w:val="20"/>
              </w:rPr>
            </w:pPr>
            <w:r>
              <w:rPr>
                <w:rFonts w:ascii="Arial" w:eastAsia="Times New Roman" w:hAnsi="Arial" w:cs="Arial"/>
                <w:color w:val="000000"/>
                <w:szCs w:val="20"/>
              </w:rPr>
              <w:t>Approx. 200</w:t>
            </w:r>
          </w:p>
        </w:tc>
        <w:tc>
          <w:tcPr>
            <w:tcW w:w="1850" w:type="dxa"/>
            <w:shd w:val="clear" w:color="auto" w:fill="auto"/>
            <w:vAlign w:val="center"/>
            <w:hideMark/>
          </w:tcPr>
          <w:p w14:paraId="47B8790B" w14:textId="0C24C17B" w:rsidR="00C25571" w:rsidRDefault="00430A7E" w:rsidP="00C25571">
            <w:pPr>
              <w:jc w:val="center"/>
              <w:rPr>
                <w:rFonts w:ascii="Arial" w:eastAsia="Times New Roman" w:hAnsi="Arial" w:cs="Arial"/>
                <w:color w:val="000000"/>
                <w:szCs w:val="20"/>
              </w:rPr>
            </w:pPr>
            <w:r>
              <w:rPr>
                <w:rFonts w:ascii="Arial" w:eastAsia="Times New Roman" w:hAnsi="Arial" w:cs="Arial"/>
                <w:color w:val="000000"/>
                <w:szCs w:val="20"/>
              </w:rPr>
              <w:t>Approx. 200</w:t>
            </w: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1D665EE" w14:textId="77777777" w:rsidR="003926AF" w:rsidRDefault="003926AF">
      <w:pPr>
        <w:widowControl/>
        <w:autoSpaceDE/>
        <w:autoSpaceDN/>
        <w:adjustRightInd/>
        <w:rPr>
          <w:rFonts w:ascii="Arial" w:hAnsi="Arial" w:cs="Arial"/>
          <w:b/>
          <w:bCs/>
          <w:szCs w:val="20"/>
        </w:rPr>
      </w:pPr>
      <w:r>
        <w:rPr>
          <w:rFonts w:ascii="Arial" w:hAnsi="Arial" w:cs="Arial"/>
          <w:b/>
          <w:bCs/>
          <w:szCs w:val="20"/>
        </w:rPr>
        <w:br w:type="page"/>
      </w:r>
    </w:p>
    <w:p w14:paraId="390AB4A0" w14:textId="7FEB4AD3" w:rsidR="003926AF" w:rsidRDefault="003926AF" w:rsidP="003926AF">
      <w:pPr>
        <w:spacing w:after="240"/>
        <w:jc w:val="center"/>
        <w:rPr>
          <w:rFonts w:ascii="Arial" w:hAnsi="Arial" w:cs="Arial"/>
          <w:b/>
          <w:bCs/>
          <w:szCs w:val="20"/>
        </w:rPr>
      </w:pPr>
      <w:r w:rsidRPr="601725FD">
        <w:rPr>
          <w:rFonts w:ascii="Arial" w:hAnsi="Arial" w:cs="Arial"/>
          <w:b/>
          <w:bCs/>
          <w:szCs w:val="20"/>
        </w:rPr>
        <w:lastRenderedPageBreak/>
        <w:t xml:space="preserve">Breakdown of Services </w:t>
      </w:r>
      <w:r>
        <w:rPr>
          <w:rFonts w:ascii="Arial" w:hAnsi="Arial" w:cs="Arial"/>
          <w:b/>
          <w:bCs/>
          <w:szCs w:val="20"/>
        </w:rPr>
        <w:t>for</w:t>
      </w:r>
      <w:r w:rsidRPr="601725FD">
        <w:rPr>
          <w:rFonts w:ascii="Arial" w:hAnsi="Arial" w:cs="Arial"/>
          <w:b/>
          <w:bCs/>
          <w:szCs w:val="20"/>
        </w:rPr>
        <w:t xml:space="preserve"> Closed Cases</w:t>
      </w:r>
      <w:r w:rsidR="005800B0">
        <w:rPr>
          <w:rFonts w:ascii="Arial" w:hAnsi="Arial" w:cs="Arial"/>
          <w:b/>
          <w:bCs/>
          <w:szCs w:val="20"/>
        </w:rPr>
        <w:t xml:space="preserve"> </w:t>
      </w:r>
      <w:r w:rsidR="00BD39C0">
        <w:rPr>
          <w:rFonts w:ascii="Arial" w:hAnsi="Arial" w:cs="Arial"/>
          <w:b/>
          <w:bCs/>
          <w:szCs w:val="20"/>
        </w:rPr>
        <w:t>f</w:t>
      </w:r>
      <w:r w:rsidR="005800B0">
        <w:rPr>
          <w:rFonts w:ascii="Arial" w:hAnsi="Arial" w:cs="Arial"/>
          <w:b/>
          <w:bCs/>
          <w:szCs w:val="20"/>
        </w:rPr>
        <w:t>or Grant Year 21-22</w:t>
      </w:r>
    </w:p>
    <w:tbl>
      <w:tblPr>
        <w:tblStyle w:val="TableGrid"/>
        <w:tblW w:w="13128" w:type="dxa"/>
        <w:tblLayout w:type="fixed"/>
        <w:tblLook w:val="06A0" w:firstRow="1" w:lastRow="0" w:firstColumn="1" w:lastColumn="0" w:noHBand="1" w:noVBand="1"/>
      </w:tblPr>
      <w:tblGrid>
        <w:gridCol w:w="1705"/>
        <w:gridCol w:w="810"/>
        <w:gridCol w:w="900"/>
        <w:gridCol w:w="961"/>
        <w:gridCol w:w="839"/>
        <w:gridCol w:w="1260"/>
        <w:gridCol w:w="1350"/>
        <w:gridCol w:w="1080"/>
        <w:gridCol w:w="941"/>
        <w:gridCol w:w="1219"/>
        <w:gridCol w:w="969"/>
        <w:gridCol w:w="1094"/>
      </w:tblGrid>
      <w:tr w:rsidR="003926AF" w:rsidRPr="00F030A9" w14:paraId="405092A3" w14:textId="77777777" w:rsidTr="000B649B">
        <w:tc>
          <w:tcPr>
            <w:tcW w:w="1705" w:type="dxa"/>
            <w:vAlign w:val="center"/>
          </w:tcPr>
          <w:p w14:paraId="6AC02A06" w14:textId="77777777" w:rsidR="003926AF" w:rsidRPr="00F030A9" w:rsidRDefault="003926AF" w:rsidP="000B649B">
            <w:pPr>
              <w:rPr>
                <w:rFonts w:ascii="Arial" w:hAnsi="Arial" w:cs="Arial"/>
              </w:rPr>
            </w:pPr>
            <w:r w:rsidRPr="00F030A9">
              <w:rPr>
                <w:rFonts w:ascii="Arial" w:eastAsia="Calibri" w:hAnsi="Arial" w:cs="Arial"/>
                <w:b/>
                <w:bCs/>
                <w:color w:val="000000"/>
              </w:rPr>
              <w:t>Legal Problem Code</w:t>
            </w:r>
          </w:p>
        </w:tc>
        <w:tc>
          <w:tcPr>
            <w:tcW w:w="3510" w:type="dxa"/>
            <w:gridSpan w:val="4"/>
            <w:vAlign w:val="center"/>
          </w:tcPr>
          <w:p w14:paraId="69192874" w14:textId="77777777" w:rsidR="003926AF" w:rsidRPr="00F030A9" w:rsidRDefault="003926AF" w:rsidP="00A260A4">
            <w:pPr>
              <w:jc w:val="center"/>
              <w:rPr>
                <w:rFonts w:ascii="Arial" w:eastAsia="Calibri" w:hAnsi="Arial" w:cs="Arial"/>
                <w:b/>
                <w:bCs/>
                <w:color w:val="000000"/>
              </w:rPr>
            </w:pPr>
          </w:p>
          <w:p w14:paraId="0531E926" w14:textId="77777777" w:rsidR="003926AF" w:rsidRDefault="003926AF" w:rsidP="00A260A4">
            <w:pPr>
              <w:jc w:val="center"/>
              <w:rPr>
                <w:rFonts w:ascii="Arial" w:eastAsia="Calibri" w:hAnsi="Arial" w:cs="Arial"/>
                <w:b/>
                <w:bCs/>
                <w:color w:val="000000"/>
              </w:rPr>
            </w:pPr>
            <w:r w:rsidRPr="00F030A9">
              <w:rPr>
                <w:rFonts w:ascii="Arial" w:eastAsia="Calibri" w:hAnsi="Arial" w:cs="Arial"/>
                <w:b/>
                <w:bCs/>
                <w:color w:val="000000"/>
              </w:rPr>
              <w:t>Limited Services</w:t>
            </w:r>
          </w:p>
          <w:p w14:paraId="66CA05B5" w14:textId="77777777" w:rsidR="003926AF" w:rsidRPr="00F030A9" w:rsidRDefault="003926AF" w:rsidP="00A260A4">
            <w:pPr>
              <w:jc w:val="center"/>
              <w:rPr>
                <w:rFonts w:ascii="Arial" w:hAnsi="Arial" w:cs="Arial"/>
              </w:rPr>
            </w:pPr>
          </w:p>
        </w:tc>
        <w:tc>
          <w:tcPr>
            <w:tcW w:w="6819" w:type="dxa"/>
            <w:gridSpan w:val="6"/>
            <w:vAlign w:val="center"/>
          </w:tcPr>
          <w:p w14:paraId="6F49E5B7" w14:textId="77777777" w:rsidR="003926AF" w:rsidRPr="00F030A9" w:rsidRDefault="003926AF" w:rsidP="00A260A4">
            <w:pPr>
              <w:jc w:val="center"/>
              <w:rPr>
                <w:rFonts w:ascii="Arial" w:hAnsi="Arial" w:cs="Arial"/>
              </w:rPr>
            </w:pPr>
            <w:r w:rsidRPr="00F030A9">
              <w:rPr>
                <w:rFonts w:ascii="Arial" w:eastAsia="Calibri" w:hAnsi="Arial" w:cs="Arial"/>
                <w:b/>
                <w:bCs/>
                <w:color w:val="000000"/>
              </w:rPr>
              <w:t>Extended Services</w:t>
            </w:r>
          </w:p>
        </w:tc>
        <w:tc>
          <w:tcPr>
            <w:tcW w:w="1094" w:type="dxa"/>
            <w:vMerge w:val="restart"/>
            <w:textDirection w:val="btLr"/>
          </w:tcPr>
          <w:p w14:paraId="00FE8C14" w14:textId="77777777" w:rsidR="003926AF" w:rsidRPr="00F030A9" w:rsidRDefault="003926AF" w:rsidP="00A260A4">
            <w:pPr>
              <w:spacing w:after="200" w:line="276" w:lineRule="auto"/>
              <w:ind w:left="113" w:right="113"/>
              <w:rPr>
                <w:rFonts w:ascii="Arial" w:eastAsia="Calibri" w:hAnsi="Arial" w:cs="Arial"/>
                <w:b/>
                <w:bCs/>
                <w:color w:val="000000"/>
              </w:rPr>
            </w:pPr>
            <w:r w:rsidRPr="00F030A9">
              <w:rPr>
                <w:rFonts w:ascii="Arial" w:eastAsia="Calibri" w:hAnsi="Arial" w:cs="Arial"/>
                <w:b/>
                <w:bCs/>
                <w:color w:val="000000"/>
              </w:rPr>
              <w:t>Total Closed Cases</w:t>
            </w:r>
          </w:p>
        </w:tc>
      </w:tr>
      <w:tr w:rsidR="003926AF" w:rsidRPr="00F030A9" w14:paraId="59A238B6" w14:textId="77777777" w:rsidTr="00A260A4">
        <w:trPr>
          <w:cantSplit/>
          <w:trHeight w:val="1682"/>
        </w:trPr>
        <w:tc>
          <w:tcPr>
            <w:tcW w:w="1705" w:type="dxa"/>
          </w:tcPr>
          <w:p w14:paraId="6E1659F8" w14:textId="77777777" w:rsidR="003926AF" w:rsidRPr="00F030A9" w:rsidRDefault="003926AF" w:rsidP="00A260A4">
            <w:pPr>
              <w:rPr>
                <w:rFonts w:ascii="Arial" w:hAnsi="Arial" w:cs="Arial"/>
              </w:rPr>
            </w:pPr>
          </w:p>
        </w:tc>
        <w:tc>
          <w:tcPr>
            <w:tcW w:w="810" w:type="dxa"/>
            <w:textDirection w:val="btLr"/>
          </w:tcPr>
          <w:p w14:paraId="6A8673D4" w14:textId="77777777" w:rsidR="003926AF" w:rsidRPr="00F030A9" w:rsidRDefault="003926AF" w:rsidP="00A260A4">
            <w:pPr>
              <w:ind w:left="113" w:right="113"/>
              <w:rPr>
                <w:rFonts w:ascii="Arial" w:hAnsi="Arial" w:cs="Arial"/>
                <w:b/>
                <w:bCs/>
              </w:rPr>
            </w:pPr>
            <w:r w:rsidRPr="00F030A9">
              <w:rPr>
                <w:rFonts w:ascii="Arial" w:hAnsi="Arial" w:cs="Arial"/>
                <w:b/>
                <w:bCs/>
              </w:rPr>
              <w:t>Referrals</w:t>
            </w:r>
          </w:p>
        </w:tc>
        <w:tc>
          <w:tcPr>
            <w:tcW w:w="900" w:type="dxa"/>
            <w:textDirection w:val="btLr"/>
          </w:tcPr>
          <w:p w14:paraId="43168C38"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Counsel and Advice</w:t>
            </w:r>
          </w:p>
        </w:tc>
        <w:tc>
          <w:tcPr>
            <w:tcW w:w="961" w:type="dxa"/>
            <w:textDirection w:val="btLr"/>
          </w:tcPr>
          <w:p w14:paraId="530E1204"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Limited Action</w:t>
            </w:r>
          </w:p>
        </w:tc>
        <w:tc>
          <w:tcPr>
            <w:tcW w:w="839" w:type="dxa"/>
            <w:textDirection w:val="btLr"/>
          </w:tcPr>
          <w:p w14:paraId="5DD5FCD7" w14:textId="77777777" w:rsidR="003926AF" w:rsidRPr="00F030A9" w:rsidRDefault="003926AF" w:rsidP="00A260A4">
            <w:pPr>
              <w:ind w:left="113" w:right="113"/>
              <w:rPr>
                <w:rFonts w:ascii="Arial" w:hAnsi="Arial" w:cs="Arial"/>
                <w:b/>
                <w:bCs/>
              </w:rPr>
            </w:pPr>
            <w:r w:rsidRPr="00F030A9">
              <w:rPr>
                <w:rFonts w:ascii="Arial" w:hAnsi="Arial" w:cs="Arial"/>
                <w:b/>
                <w:bCs/>
              </w:rPr>
              <w:t>Subtotal</w:t>
            </w:r>
          </w:p>
        </w:tc>
        <w:tc>
          <w:tcPr>
            <w:tcW w:w="1260" w:type="dxa"/>
            <w:textDirection w:val="btLr"/>
          </w:tcPr>
          <w:p w14:paraId="7551B8B1"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Negotiated</w:t>
            </w:r>
            <w:r w:rsidRPr="00F030A9">
              <w:rPr>
                <w:rFonts w:ascii="Arial" w:hAnsi="Arial" w:cs="Arial"/>
              </w:rPr>
              <w:br/>
            </w:r>
            <w:r w:rsidRPr="00F030A9">
              <w:rPr>
                <w:rFonts w:ascii="Arial" w:eastAsia="Calibri" w:hAnsi="Arial" w:cs="Arial"/>
                <w:b/>
                <w:bCs/>
                <w:color w:val="000000"/>
              </w:rPr>
              <w:t xml:space="preserve"> Settlement</w:t>
            </w:r>
            <w:r w:rsidRPr="00F030A9">
              <w:rPr>
                <w:rFonts w:ascii="Arial" w:hAnsi="Arial" w:cs="Arial"/>
              </w:rPr>
              <w:br/>
            </w:r>
            <w:r w:rsidRPr="00F030A9">
              <w:rPr>
                <w:rFonts w:ascii="Arial" w:eastAsia="Calibri" w:hAnsi="Arial" w:cs="Arial"/>
                <w:b/>
                <w:bCs/>
                <w:color w:val="000000"/>
              </w:rPr>
              <w:t xml:space="preserve"> without</w:t>
            </w:r>
            <w:r w:rsidRPr="00F030A9">
              <w:rPr>
                <w:rFonts w:ascii="Arial" w:hAnsi="Arial" w:cs="Arial"/>
              </w:rPr>
              <w:br/>
            </w:r>
            <w:r w:rsidRPr="00F030A9">
              <w:rPr>
                <w:rFonts w:ascii="Arial" w:eastAsia="Calibri" w:hAnsi="Arial" w:cs="Arial"/>
                <w:b/>
                <w:bCs/>
                <w:color w:val="000000"/>
              </w:rPr>
              <w:t xml:space="preserve"> Litigation</w:t>
            </w:r>
          </w:p>
        </w:tc>
        <w:tc>
          <w:tcPr>
            <w:tcW w:w="1350" w:type="dxa"/>
            <w:textDirection w:val="btLr"/>
          </w:tcPr>
          <w:p w14:paraId="5B27506A"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Negotiated</w:t>
            </w:r>
            <w:r w:rsidRPr="00F030A9">
              <w:rPr>
                <w:rFonts w:ascii="Arial" w:hAnsi="Arial" w:cs="Arial"/>
              </w:rPr>
              <w:br/>
            </w:r>
            <w:r w:rsidRPr="00F030A9">
              <w:rPr>
                <w:rFonts w:ascii="Arial" w:eastAsia="Calibri" w:hAnsi="Arial" w:cs="Arial"/>
                <w:b/>
                <w:bCs/>
                <w:color w:val="000000"/>
              </w:rPr>
              <w:t xml:space="preserve"> Settlement</w:t>
            </w:r>
            <w:r w:rsidRPr="00F030A9">
              <w:rPr>
                <w:rFonts w:ascii="Arial" w:hAnsi="Arial" w:cs="Arial"/>
              </w:rPr>
              <w:br/>
            </w:r>
            <w:r w:rsidRPr="00F030A9">
              <w:rPr>
                <w:rFonts w:ascii="Arial" w:eastAsia="Calibri" w:hAnsi="Arial" w:cs="Arial"/>
                <w:b/>
                <w:bCs/>
                <w:color w:val="000000"/>
              </w:rPr>
              <w:t xml:space="preserve"> with</w:t>
            </w:r>
            <w:r w:rsidRPr="00F030A9">
              <w:rPr>
                <w:rFonts w:ascii="Arial" w:hAnsi="Arial" w:cs="Arial"/>
              </w:rPr>
              <w:br/>
            </w:r>
            <w:r w:rsidRPr="00F030A9">
              <w:rPr>
                <w:rFonts w:ascii="Arial" w:eastAsia="Calibri" w:hAnsi="Arial" w:cs="Arial"/>
                <w:b/>
                <w:bCs/>
                <w:color w:val="000000"/>
              </w:rPr>
              <w:t xml:space="preserve"> Litigation</w:t>
            </w:r>
          </w:p>
        </w:tc>
        <w:tc>
          <w:tcPr>
            <w:tcW w:w="1080" w:type="dxa"/>
            <w:textDirection w:val="btLr"/>
          </w:tcPr>
          <w:p w14:paraId="0E44E4ED"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Administrative</w:t>
            </w:r>
            <w:r w:rsidRPr="00F030A9">
              <w:rPr>
                <w:rFonts w:ascii="Arial" w:hAnsi="Arial" w:cs="Arial"/>
              </w:rPr>
              <w:br/>
            </w:r>
            <w:r w:rsidRPr="00F030A9">
              <w:rPr>
                <w:rFonts w:ascii="Arial" w:eastAsia="Calibri" w:hAnsi="Arial" w:cs="Arial"/>
                <w:b/>
                <w:bCs/>
                <w:color w:val="000000"/>
              </w:rPr>
              <w:t xml:space="preserve"> Agency</w:t>
            </w:r>
            <w:r w:rsidRPr="00F030A9">
              <w:rPr>
                <w:rFonts w:ascii="Arial" w:hAnsi="Arial" w:cs="Arial"/>
              </w:rPr>
              <w:br/>
            </w:r>
            <w:r w:rsidRPr="00F030A9">
              <w:rPr>
                <w:rFonts w:ascii="Arial" w:eastAsia="Calibri" w:hAnsi="Arial" w:cs="Arial"/>
                <w:b/>
                <w:bCs/>
                <w:color w:val="000000"/>
              </w:rPr>
              <w:t xml:space="preserve"> Decision</w:t>
            </w:r>
          </w:p>
        </w:tc>
        <w:tc>
          <w:tcPr>
            <w:tcW w:w="941" w:type="dxa"/>
            <w:textDirection w:val="btLr"/>
          </w:tcPr>
          <w:p w14:paraId="040F1997"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Court</w:t>
            </w:r>
            <w:r w:rsidRPr="00F030A9">
              <w:rPr>
                <w:rFonts w:ascii="Arial" w:hAnsi="Arial" w:cs="Arial"/>
              </w:rPr>
              <w:br/>
            </w:r>
            <w:r w:rsidRPr="00F030A9">
              <w:rPr>
                <w:rFonts w:ascii="Arial" w:eastAsia="Calibri" w:hAnsi="Arial" w:cs="Arial"/>
                <w:b/>
                <w:bCs/>
                <w:color w:val="000000"/>
              </w:rPr>
              <w:t xml:space="preserve"> Decision</w:t>
            </w:r>
          </w:p>
        </w:tc>
        <w:tc>
          <w:tcPr>
            <w:tcW w:w="1219" w:type="dxa"/>
            <w:textDirection w:val="btLr"/>
          </w:tcPr>
          <w:p w14:paraId="52555FE4" w14:textId="77777777" w:rsidR="003926AF" w:rsidRPr="00F030A9" w:rsidRDefault="003926AF" w:rsidP="00A260A4">
            <w:pPr>
              <w:ind w:left="113" w:right="113"/>
              <w:rPr>
                <w:rFonts w:ascii="Arial" w:hAnsi="Arial" w:cs="Arial"/>
              </w:rPr>
            </w:pPr>
            <w:r w:rsidRPr="00F030A9">
              <w:rPr>
                <w:rFonts w:ascii="Arial" w:eastAsia="Calibri" w:hAnsi="Arial" w:cs="Arial"/>
                <w:b/>
                <w:bCs/>
                <w:color w:val="000000"/>
              </w:rPr>
              <w:t>Extensive</w:t>
            </w:r>
            <w:r w:rsidRPr="00F030A9">
              <w:rPr>
                <w:rFonts w:ascii="Arial" w:hAnsi="Arial" w:cs="Arial"/>
              </w:rPr>
              <w:br/>
            </w:r>
            <w:r w:rsidRPr="00F030A9">
              <w:rPr>
                <w:rFonts w:ascii="Arial" w:eastAsia="Calibri" w:hAnsi="Arial" w:cs="Arial"/>
                <w:b/>
                <w:bCs/>
                <w:color w:val="000000"/>
              </w:rPr>
              <w:t xml:space="preserve"> Services</w:t>
            </w:r>
          </w:p>
        </w:tc>
        <w:tc>
          <w:tcPr>
            <w:tcW w:w="969" w:type="dxa"/>
            <w:textDirection w:val="btLr"/>
          </w:tcPr>
          <w:p w14:paraId="304C83D9" w14:textId="77777777" w:rsidR="003926AF" w:rsidRPr="00F030A9" w:rsidRDefault="003926AF" w:rsidP="00A260A4">
            <w:pPr>
              <w:ind w:left="113" w:right="113"/>
              <w:rPr>
                <w:rFonts w:ascii="Arial" w:hAnsi="Arial" w:cs="Arial"/>
                <w:b/>
                <w:bCs/>
              </w:rPr>
            </w:pPr>
            <w:r w:rsidRPr="00F030A9">
              <w:rPr>
                <w:rFonts w:ascii="Arial" w:hAnsi="Arial" w:cs="Arial"/>
                <w:b/>
                <w:bCs/>
              </w:rPr>
              <w:t>Subtotal</w:t>
            </w:r>
          </w:p>
        </w:tc>
        <w:tc>
          <w:tcPr>
            <w:tcW w:w="1094" w:type="dxa"/>
            <w:vMerge/>
          </w:tcPr>
          <w:p w14:paraId="026AE365" w14:textId="77777777" w:rsidR="003926AF" w:rsidRPr="00F030A9" w:rsidRDefault="003926AF" w:rsidP="00A260A4">
            <w:pPr>
              <w:rPr>
                <w:rFonts w:ascii="Arial" w:hAnsi="Arial" w:cs="Arial"/>
              </w:rPr>
            </w:pPr>
          </w:p>
        </w:tc>
      </w:tr>
      <w:tr w:rsidR="003926AF" w:rsidRPr="00F030A9" w14:paraId="49B41689" w14:textId="77777777" w:rsidTr="00A260A4">
        <w:trPr>
          <w:trHeight w:val="620"/>
        </w:trPr>
        <w:tc>
          <w:tcPr>
            <w:tcW w:w="1705" w:type="dxa"/>
          </w:tcPr>
          <w:p w14:paraId="3F667F9A" w14:textId="77777777" w:rsidR="003926AF" w:rsidRPr="00F030A9" w:rsidRDefault="003926AF" w:rsidP="00A260A4">
            <w:pPr>
              <w:rPr>
                <w:rFonts w:ascii="Arial" w:hAnsi="Arial" w:cs="Arial"/>
              </w:rPr>
            </w:pPr>
            <w:r w:rsidRPr="00F030A9">
              <w:rPr>
                <w:rFonts w:ascii="Arial" w:eastAsia="Calibri" w:hAnsi="Arial" w:cs="Arial"/>
                <w:b/>
                <w:bCs/>
                <w:color w:val="000000"/>
              </w:rPr>
              <w:t>Housing</w:t>
            </w:r>
          </w:p>
        </w:tc>
        <w:tc>
          <w:tcPr>
            <w:tcW w:w="810" w:type="dxa"/>
          </w:tcPr>
          <w:p w14:paraId="2D92AF07" w14:textId="77777777" w:rsidR="003926AF" w:rsidRDefault="003926AF" w:rsidP="00A260A4">
            <w:pPr>
              <w:rPr>
                <w:rFonts w:ascii="Arial" w:hAnsi="Arial" w:cs="Arial"/>
              </w:rPr>
            </w:pPr>
          </w:p>
          <w:p w14:paraId="5A3A0D7C" w14:textId="6A3623E4" w:rsidR="00F34B59" w:rsidRPr="00F030A9" w:rsidRDefault="00795CCC" w:rsidP="00A260A4">
            <w:pPr>
              <w:rPr>
                <w:rFonts w:ascii="Arial" w:hAnsi="Arial" w:cs="Arial"/>
              </w:rPr>
            </w:pPr>
            <w:r>
              <w:rPr>
                <w:rFonts w:ascii="Arial" w:hAnsi="Arial" w:cs="Arial"/>
              </w:rPr>
              <w:t>82</w:t>
            </w:r>
          </w:p>
        </w:tc>
        <w:tc>
          <w:tcPr>
            <w:tcW w:w="900" w:type="dxa"/>
          </w:tcPr>
          <w:p w14:paraId="72D21557" w14:textId="77777777" w:rsidR="00EB7756" w:rsidRDefault="00EB7756" w:rsidP="00A260A4">
            <w:pPr>
              <w:rPr>
                <w:rFonts w:ascii="Arial" w:hAnsi="Arial" w:cs="Arial"/>
              </w:rPr>
            </w:pPr>
          </w:p>
          <w:p w14:paraId="00244663" w14:textId="7F4842A3" w:rsidR="003926AF" w:rsidRPr="00F030A9" w:rsidRDefault="00E62BB3" w:rsidP="00A260A4">
            <w:pPr>
              <w:rPr>
                <w:rFonts w:ascii="Arial" w:hAnsi="Arial" w:cs="Arial"/>
              </w:rPr>
            </w:pPr>
            <w:r>
              <w:rPr>
                <w:rFonts w:ascii="Arial" w:hAnsi="Arial" w:cs="Arial"/>
              </w:rPr>
              <w:t>225</w:t>
            </w:r>
          </w:p>
        </w:tc>
        <w:tc>
          <w:tcPr>
            <w:tcW w:w="961" w:type="dxa"/>
          </w:tcPr>
          <w:p w14:paraId="4042F28B" w14:textId="77777777" w:rsidR="003926AF" w:rsidRDefault="003926AF" w:rsidP="00A260A4">
            <w:pPr>
              <w:rPr>
                <w:rFonts w:ascii="Arial" w:hAnsi="Arial" w:cs="Arial"/>
              </w:rPr>
            </w:pPr>
          </w:p>
          <w:p w14:paraId="0AACEC81" w14:textId="04F35CC4" w:rsidR="00DB7337" w:rsidRPr="00F030A9" w:rsidRDefault="00667DBC" w:rsidP="00A260A4">
            <w:pPr>
              <w:rPr>
                <w:rFonts w:ascii="Arial" w:hAnsi="Arial" w:cs="Arial"/>
              </w:rPr>
            </w:pPr>
            <w:r>
              <w:rPr>
                <w:rFonts w:ascii="Arial" w:hAnsi="Arial" w:cs="Arial"/>
              </w:rPr>
              <w:t>68</w:t>
            </w:r>
          </w:p>
        </w:tc>
        <w:tc>
          <w:tcPr>
            <w:tcW w:w="839" w:type="dxa"/>
          </w:tcPr>
          <w:p w14:paraId="66720018" w14:textId="77777777" w:rsidR="003926AF" w:rsidRDefault="003926AF" w:rsidP="00A260A4">
            <w:pPr>
              <w:rPr>
                <w:rFonts w:ascii="Arial" w:hAnsi="Arial" w:cs="Arial"/>
              </w:rPr>
            </w:pPr>
          </w:p>
          <w:p w14:paraId="26F9CE9C" w14:textId="2015637B" w:rsidR="00C5657B" w:rsidRPr="00F030A9" w:rsidRDefault="00667DBC" w:rsidP="00A260A4">
            <w:pPr>
              <w:rPr>
                <w:rFonts w:ascii="Arial" w:hAnsi="Arial" w:cs="Arial"/>
              </w:rPr>
            </w:pPr>
            <w:r>
              <w:rPr>
                <w:rFonts w:ascii="Arial" w:hAnsi="Arial" w:cs="Arial"/>
              </w:rPr>
              <w:t>375</w:t>
            </w:r>
          </w:p>
        </w:tc>
        <w:tc>
          <w:tcPr>
            <w:tcW w:w="1260" w:type="dxa"/>
          </w:tcPr>
          <w:p w14:paraId="622AF2C4" w14:textId="77777777" w:rsidR="003926AF" w:rsidRDefault="003926AF" w:rsidP="00A260A4">
            <w:pPr>
              <w:rPr>
                <w:rFonts w:ascii="Arial" w:hAnsi="Arial" w:cs="Arial"/>
              </w:rPr>
            </w:pPr>
          </w:p>
          <w:p w14:paraId="5877EBEF" w14:textId="10251662" w:rsidR="00C5657B" w:rsidRPr="00F030A9" w:rsidRDefault="00166AA3" w:rsidP="00A260A4">
            <w:pPr>
              <w:rPr>
                <w:rFonts w:ascii="Arial" w:hAnsi="Arial" w:cs="Arial"/>
              </w:rPr>
            </w:pPr>
            <w:r>
              <w:rPr>
                <w:rFonts w:ascii="Arial" w:hAnsi="Arial" w:cs="Arial"/>
              </w:rPr>
              <w:t>24</w:t>
            </w:r>
          </w:p>
        </w:tc>
        <w:tc>
          <w:tcPr>
            <w:tcW w:w="1350" w:type="dxa"/>
          </w:tcPr>
          <w:p w14:paraId="7B2D33E8" w14:textId="77777777" w:rsidR="003926AF" w:rsidRDefault="003926AF" w:rsidP="00A260A4">
            <w:pPr>
              <w:rPr>
                <w:rFonts w:ascii="Arial" w:hAnsi="Arial" w:cs="Arial"/>
              </w:rPr>
            </w:pPr>
          </w:p>
          <w:p w14:paraId="0BA32667" w14:textId="228909DB" w:rsidR="00AC64D4" w:rsidRPr="00F030A9" w:rsidRDefault="006D1426" w:rsidP="00A260A4">
            <w:pPr>
              <w:rPr>
                <w:rFonts w:ascii="Arial" w:hAnsi="Arial" w:cs="Arial"/>
              </w:rPr>
            </w:pPr>
            <w:r>
              <w:rPr>
                <w:rFonts w:ascii="Arial" w:hAnsi="Arial" w:cs="Arial"/>
              </w:rPr>
              <w:t>12</w:t>
            </w:r>
          </w:p>
        </w:tc>
        <w:tc>
          <w:tcPr>
            <w:tcW w:w="1080" w:type="dxa"/>
          </w:tcPr>
          <w:p w14:paraId="471B97D4" w14:textId="77777777" w:rsidR="003926AF" w:rsidRDefault="003926AF" w:rsidP="00A260A4">
            <w:pPr>
              <w:rPr>
                <w:rFonts w:ascii="Arial" w:hAnsi="Arial" w:cs="Arial"/>
              </w:rPr>
            </w:pPr>
          </w:p>
          <w:p w14:paraId="0D04EEE0" w14:textId="3E41B98B" w:rsidR="00AC64D4" w:rsidRPr="00F030A9" w:rsidRDefault="006D1426" w:rsidP="00A260A4">
            <w:pPr>
              <w:rPr>
                <w:rFonts w:ascii="Arial" w:hAnsi="Arial" w:cs="Arial"/>
              </w:rPr>
            </w:pPr>
            <w:r>
              <w:rPr>
                <w:rFonts w:ascii="Arial" w:hAnsi="Arial" w:cs="Arial"/>
              </w:rPr>
              <w:t>4</w:t>
            </w:r>
          </w:p>
        </w:tc>
        <w:tc>
          <w:tcPr>
            <w:tcW w:w="941" w:type="dxa"/>
          </w:tcPr>
          <w:p w14:paraId="6DB008C5" w14:textId="77777777" w:rsidR="003926AF" w:rsidRDefault="003926AF" w:rsidP="00A260A4">
            <w:pPr>
              <w:rPr>
                <w:rFonts w:ascii="Arial" w:hAnsi="Arial" w:cs="Arial"/>
              </w:rPr>
            </w:pPr>
          </w:p>
          <w:p w14:paraId="114CB65C" w14:textId="1E82CD6C" w:rsidR="00BC1017" w:rsidRPr="00F030A9" w:rsidRDefault="00AE084F" w:rsidP="00A260A4">
            <w:pPr>
              <w:rPr>
                <w:rFonts w:ascii="Arial" w:hAnsi="Arial" w:cs="Arial"/>
              </w:rPr>
            </w:pPr>
            <w:r>
              <w:rPr>
                <w:rFonts w:ascii="Arial" w:hAnsi="Arial" w:cs="Arial"/>
              </w:rPr>
              <w:t>5</w:t>
            </w:r>
          </w:p>
        </w:tc>
        <w:tc>
          <w:tcPr>
            <w:tcW w:w="1219" w:type="dxa"/>
          </w:tcPr>
          <w:p w14:paraId="5018E6AC" w14:textId="77777777" w:rsidR="003926AF" w:rsidRDefault="003926AF" w:rsidP="00A260A4">
            <w:pPr>
              <w:rPr>
                <w:rFonts w:ascii="Arial" w:hAnsi="Arial" w:cs="Arial"/>
              </w:rPr>
            </w:pPr>
          </w:p>
          <w:p w14:paraId="46FC96A0" w14:textId="661C079A" w:rsidR="00BC1017" w:rsidRPr="00F030A9" w:rsidRDefault="005F537A" w:rsidP="00A260A4">
            <w:pPr>
              <w:rPr>
                <w:rFonts w:ascii="Arial" w:hAnsi="Arial" w:cs="Arial"/>
              </w:rPr>
            </w:pPr>
            <w:r>
              <w:rPr>
                <w:rFonts w:ascii="Arial" w:hAnsi="Arial" w:cs="Arial"/>
              </w:rPr>
              <w:t>36</w:t>
            </w:r>
          </w:p>
        </w:tc>
        <w:tc>
          <w:tcPr>
            <w:tcW w:w="969" w:type="dxa"/>
          </w:tcPr>
          <w:p w14:paraId="18D3EDD4" w14:textId="77777777" w:rsidR="003926AF" w:rsidRDefault="003926AF" w:rsidP="00A260A4">
            <w:pPr>
              <w:rPr>
                <w:rFonts w:ascii="Arial" w:hAnsi="Arial" w:cs="Arial"/>
              </w:rPr>
            </w:pPr>
          </w:p>
          <w:p w14:paraId="632B6299" w14:textId="7E3F315E" w:rsidR="008500D0" w:rsidRPr="00F030A9" w:rsidRDefault="005F537A" w:rsidP="00A260A4">
            <w:pPr>
              <w:rPr>
                <w:rFonts w:ascii="Arial" w:hAnsi="Arial" w:cs="Arial"/>
              </w:rPr>
            </w:pPr>
            <w:r>
              <w:rPr>
                <w:rFonts w:ascii="Arial" w:hAnsi="Arial" w:cs="Arial"/>
              </w:rPr>
              <w:t>81</w:t>
            </w:r>
          </w:p>
        </w:tc>
        <w:tc>
          <w:tcPr>
            <w:tcW w:w="1094" w:type="dxa"/>
          </w:tcPr>
          <w:p w14:paraId="4785B0FB" w14:textId="77777777" w:rsidR="003926AF" w:rsidRDefault="003926AF" w:rsidP="00A260A4">
            <w:pPr>
              <w:rPr>
                <w:rFonts w:ascii="Arial" w:hAnsi="Arial" w:cs="Arial"/>
              </w:rPr>
            </w:pPr>
          </w:p>
          <w:p w14:paraId="127265B2" w14:textId="02A7A260" w:rsidR="009D12A4" w:rsidRPr="00F030A9" w:rsidRDefault="00192860" w:rsidP="00A260A4">
            <w:pPr>
              <w:rPr>
                <w:rFonts w:ascii="Arial" w:hAnsi="Arial" w:cs="Arial"/>
              </w:rPr>
            </w:pPr>
            <w:r>
              <w:rPr>
                <w:rFonts w:ascii="Arial" w:hAnsi="Arial" w:cs="Arial"/>
              </w:rPr>
              <w:t>456</w:t>
            </w:r>
          </w:p>
        </w:tc>
      </w:tr>
      <w:tr w:rsidR="003926AF" w:rsidRPr="00F030A9" w14:paraId="5A810B22" w14:textId="77777777" w:rsidTr="00A260A4">
        <w:tc>
          <w:tcPr>
            <w:tcW w:w="1705" w:type="dxa"/>
          </w:tcPr>
          <w:p w14:paraId="1CD15A71" w14:textId="77777777" w:rsidR="003926AF" w:rsidRPr="00F030A9" w:rsidRDefault="003926AF" w:rsidP="00A260A4">
            <w:pPr>
              <w:rPr>
                <w:rFonts w:ascii="Arial" w:hAnsi="Arial" w:cs="Arial"/>
              </w:rPr>
            </w:pPr>
            <w:r w:rsidRPr="00F030A9">
              <w:rPr>
                <w:rFonts w:ascii="Arial" w:eastAsia="Calibri" w:hAnsi="Arial" w:cs="Arial"/>
                <w:b/>
                <w:bCs/>
                <w:color w:val="000000"/>
              </w:rPr>
              <w:t>Other (Employment, Income Maintenance/</w:t>
            </w:r>
            <w:r>
              <w:rPr>
                <w:rFonts w:ascii="Arial" w:eastAsia="Calibri" w:hAnsi="Arial" w:cs="Arial"/>
                <w:b/>
                <w:bCs/>
                <w:color w:val="000000"/>
              </w:rPr>
              <w:t xml:space="preserve"> </w:t>
            </w:r>
            <w:r w:rsidRPr="00F030A9">
              <w:rPr>
                <w:rFonts w:ascii="Arial" w:eastAsia="Calibri" w:hAnsi="Arial" w:cs="Arial"/>
                <w:b/>
                <w:bCs/>
                <w:color w:val="000000"/>
              </w:rPr>
              <w:t>Benefits, etc.)</w:t>
            </w:r>
          </w:p>
        </w:tc>
        <w:tc>
          <w:tcPr>
            <w:tcW w:w="810" w:type="dxa"/>
          </w:tcPr>
          <w:p w14:paraId="77FF106E" w14:textId="77777777" w:rsidR="003926AF" w:rsidRDefault="003926AF" w:rsidP="00A260A4">
            <w:pPr>
              <w:rPr>
                <w:rFonts w:ascii="Arial" w:hAnsi="Arial" w:cs="Arial"/>
              </w:rPr>
            </w:pPr>
          </w:p>
          <w:p w14:paraId="26875E45" w14:textId="4905AD05" w:rsidR="00542C9E" w:rsidRPr="00F030A9" w:rsidRDefault="00795CCC" w:rsidP="00A260A4">
            <w:pPr>
              <w:rPr>
                <w:rFonts w:ascii="Arial" w:hAnsi="Arial" w:cs="Arial"/>
              </w:rPr>
            </w:pPr>
            <w:r>
              <w:rPr>
                <w:rFonts w:ascii="Arial" w:hAnsi="Arial" w:cs="Arial"/>
              </w:rPr>
              <w:t>46</w:t>
            </w:r>
          </w:p>
        </w:tc>
        <w:tc>
          <w:tcPr>
            <w:tcW w:w="900" w:type="dxa"/>
          </w:tcPr>
          <w:p w14:paraId="0E8EF84C" w14:textId="77777777" w:rsidR="003926AF" w:rsidRDefault="003926AF" w:rsidP="00A260A4">
            <w:pPr>
              <w:rPr>
                <w:rFonts w:ascii="Arial" w:hAnsi="Arial" w:cs="Arial"/>
              </w:rPr>
            </w:pPr>
          </w:p>
          <w:p w14:paraId="32383FE7" w14:textId="0630C025" w:rsidR="003C18F2" w:rsidRPr="00F030A9" w:rsidRDefault="00027B19" w:rsidP="00A260A4">
            <w:pPr>
              <w:rPr>
                <w:rFonts w:ascii="Arial" w:hAnsi="Arial" w:cs="Arial"/>
              </w:rPr>
            </w:pPr>
            <w:r>
              <w:rPr>
                <w:rFonts w:ascii="Arial" w:hAnsi="Arial" w:cs="Arial"/>
              </w:rPr>
              <w:t>47</w:t>
            </w:r>
          </w:p>
        </w:tc>
        <w:tc>
          <w:tcPr>
            <w:tcW w:w="961" w:type="dxa"/>
          </w:tcPr>
          <w:p w14:paraId="652FDA4F" w14:textId="77777777" w:rsidR="003926AF" w:rsidRDefault="003926AF" w:rsidP="00A260A4">
            <w:pPr>
              <w:rPr>
                <w:rFonts w:ascii="Arial" w:hAnsi="Arial" w:cs="Arial"/>
              </w:rPr>
            </w:pPr>
          </w:p>
          <w:p w14:paraId="32F85BA8" w14:textId="130F9A06" w:rsidR="003C18F2" w:rsidRPr="00F030A9" w:rsidRDefault="000D49FF" w:rsidP="00A260A4">
            <w:pPr>
              <w:rPr>
                <w:rFonts w:ascii="Arial" w:hAnsi="Arial" w:cs="Arial"/>
              </w:rPr>
            </w:pPr>
            <w:r>
              <w:rPr>
                <w:rFonts w:ascii="Arial" w:hAnsi="Arial" w:cs="Arial"/>
              </w:rPr>
              <w:t>13</w:t>
            </w:r>
          </w:p>
        </w:tc>
        <w:tc>
          <w:tcPr>
            <w:tcW w:w="839" w:type="dxa"/>
          </w:tcPr>
          <w:p w14:paraId="263E29F4" w14:textId="77777777" w:rsidR="003926AF" w:rsidRDefault="003926AF" w:rsidP="00A260A4">
            <w:pPr>
              <w:rPr>
                <w:rFonts w:ascii="Arial" w:hAnsi="Arial" w:cs="Arial"/>
              </w:rPr>
            </w:pPr>
          </w:p>
          <w:p w14:paraId="7CE11498" w14:textId="573E446A" w:rsidR="001E197E" w:rsidRPr="00F030A9" w:rsidRDefault="000D49FF" w:rsidP="00A260A4">
            <w:pPr>
              <w:rPr>
                <w:rFonts w:ascii="Arial" w:hAnsi="Arial" w:cs="Arial"/>
              </w:rPr>
            </w:pPr>
            <w:r>
              <w:rPr>
                <w:rFonts w:ascii="Arial" w:hAnsi="Arial" w:cs="Arial"/>
              </w:rPr>
              <w:t>106</w:t>
            </w:r>
          </w:p>
        </w:tc>
        <w:tc>
          <w:tcPr>
            <w:tcW w:w="1260" w:type="dxa"/>
          </w:tcPr>
          <w:p w14:paraId="238ECC5A" w14:textId="77777777" w:rsidR="003926AF" w:rsidRDefault="003926AF" w:rsidP="00A260A4">
            <w:pPr>
              <w:rPr>
                <w:rFonts w:ascii="Arial" w:hAnsi="Arial" w:cs="Arial"/>
              </w:rPr>
            </w:pPr>
          </w:p>
          <w:p w14:paraId="61DFFFE1" w14:textId="38426739" w:rsidR="001E197E" w:rsidRPr="00F030A9" w:rsidRDefault="001E197E" w:rsidP="00A260A4">
            <w:pPr>
              <w:rPr>
                <w:rFonts w:ascii="Arial" w:hAnsi="Arial" w:cs="Arial"/>
              </w:rPr>
            </w:pPr>
            <w:r>
              <w:rPr>
                <w:rFonts w:ascii="Arial" w:hAnsi="Arial" w:cs="Arial"/>
              </w:rPr>
              <w:t>1</w:t>
            </w:r>
          </w:p>
        </w:tc>
        <w:tc>
          <w:tcPr>
            <w:tcW w:w="1350" w:type="dxa"/>
          </w:tcPr>
          <w:p w14:paraId="3B4F304D" w14:textId="77777777" w:rsidR="003926AF" w:rsidRDefault="003926AF" w:rsidP="00A260A4">
            <w:pPr>
              <w:rPr>
                <w:rFonts w:ascii="Arial" w:hAnsi="Arial" w:cs="Arial"/>
              </w:rPr>
            </w:pPr>
          </w:p>
          <w:p w14:paraId="696853E5" w14:textId="67FCDA41" w:rsidR="001E197E" w:rsidRPr="00F030A9" w:rsidRDefault="001E197E" w:rsidP="00A260A4">
            <w:pPr>
              <w:rPr>
                <w:rFonts w:ascii="Arial" w:hAnsi="Arial" w:cs="Arial"/>
              </w:rPr>
            </w:pPr>
            <w:r>
              <w:rPr>
                <w:rFonts w:ascii="Arial" w:hAnsi="Arial" w:cs="Arial"/>
              </w:rPr>
              <w:t>0</w:t>
            </w:r>
          </w:p>
        </w:tc>
        <w:tc>
          <w:tcPr>
            <w:tcW w:w="1080" w:type="dxa"/>
          </w:tcPr>
          <w:p w14:paraId="478EFDC9" w14:textId="77777777" w:rsidR="003926AF" w:rsidRDefault="003926AF" w:rsidP="00A260A4">
            <w:pPr>
              <w:rPr>
                <w:rFonts w:ascii="Arial" w:hAnsi="Arial" w:cs="Arial"/>
              </w:rPr>
            </w:pPr>
          </w:p>
          <w:p w14:paraId="62676D61" w14:textId="53AAD01A" w:rsidR="001E197E" w:rsidRPr="00F030A9" w:rsidRDefault="001E197E" w:rsidP="00A260A4">
            <w:pPr>
              <w:rPr>
                <w:rFonts w:ascii="Arial" w:hAnsi="Arial" w:cs="Arial"/>
              </w:rPr>
            </w:pPr>
            <w:r>
              <w:rPr>
                <w:rFonts w:ascii="Arial" w:hAnsi="Arial" w:cs="Arial"/>
              </w:rPr>
              <w:t>1</w:t>
            </w:r>
          </w:p>
        </w:tc>
        <w:tc>
          <w:tcPr>
            <w:tcW w:w="941" w:type="dxa"/>
          </w:tcPr>
          <w:p w14:paraId="31F6616C" w14:textId="77777777" w:rsidR="003926AF" w:rsidRDefault="003926AF" w:rsidP="00A260A4">
            <w:pPr>
              <w:rPr>
                <w:rFonts w:ascii="Arial" w:hAnsi="Arial" w:cs="Arial"/>
              </w:rPr>
            </w:pPr>
          </w:p>
          <w:p w14:paraId="34DBFF60" w14:textId="54044253" w:rsidR="00B626FB" w:rsidRPr="00F030A9" w:rsidRDefault="00B626FB" w:rsidP="00A260A4">
            <w:pPr>
              <w:rPr>
                <w:rFonts w:ascii="Arial" w:hAnsi="Arial" w:cs="Arial"/>
              </w:rPr>
            </w:pPr>
            <w:r>
              <w:rPr>
                <w:rFonts w:ascii="Arial" w:hAnsi="Arial" w:cs="Arial"/>
              </w:rPr>
              <w:t>2</w:t>
            </w:r>
          </w:p>
        </w:tc>
        <w:tc>
          <w:tcPr>
            <w:tcW w:w="1219" w:type="dxa"/>
          </w:tcPr>
          <w:p w14:paraId="0ADDFE3F" w14:textId="77777777" w:rsidR="003926AF" w:rsidRDefault="003926AF" w:rsidP="00A260A4">
            <w:pPr>
              <w:rPr>
                <w:rFonts w:ascii="Arial" w:hAnsi="Arial" w:cs="Arial"/>
              </w:rPr>
            </w:pPr>
          </w:p>
          <w:p w14:paraId="76E0D73E" w14:textId="548CB72F" w:rsidR="003300DA" w:rsidRPr="00F030A9" w:rsidRDefault="002F58C9" w:rsidP="00A260A4">
            <w:pPr>
              <w:rPr>
                <w:rFonts w:ascii="Arial" w:hAnsi="Arial" w:cs="Arial"/>
              </w:rPr>
            </w:pPr>
            <w:r>
              <w:rPr>
                <w:rFonts w:ascii="Arial" w:hAnsi="Arial" w:cs="Arial"/>
              </w:rPr>
              <w:t>5</w:t>
            </w:r>
          </w:p>
        </w:tc>
        <w:tc>
          <w:tcPr>
            <w:tcW w:w="969" w:type="dxa"/>
          </w:tcPr>
          <w:p w14:paraId="62139A9D" w14:textId="77777777" w:rsidR="003926AF" w:rsidRDefault="003926AF" w:rsidP="00A260A4">
            <w:pPr>
              <w:rPr>
                <w:rFonts w:ascii="Arial" w:hAnsi="Arial" w:cs="Arial"/>
              </w:rPr>
            </w:pPr>
          </w:p>
          <w:p w14:paraId="2AAE6FC5" w14:textId="409E781C" w:rsidR="003300DA" w:rsidRPr="00F030A9" w:rsidRDefault="00471B9B" w:rsidP="00A260A4">
            <w:pPr>
              <w:rPr>
                <w:rFonts w:ascii="Arial" w:hAnsi="Arial" w:cs="Arial"/>
              </w:rPr>
            </w:pPr>
            <w:r>
              <w:rPr>
                <w:rFonts w:ascii="Arial" w:hAnsi="Arial" w:cs="Arial"/>
              </w:rPr>
              <w:t>9</w:t>
            </w:r>
          </w:p>
        </w:tc>
        <w:tc>
          <w:tcPr>
            <w:tcW w:w="1094" w:type="dxa"/>
          </w:tcPr>
          <w:p w14:paraId="1082CD4A" w14:textId="77777777" w:rsidR="003926AF" w:rsidRDefault="003926AF" w:rsidP="00A260A4">
            <w:pPr>
              <w:rPr>
                <w:rFonts w:ascii="Arial" w:hAnsi="Arial" w:cs="Arial"/>
              </w:rPr>
            </w:pPr>
          </w:p>
          <w:p w14:paraId="010290FE" w14:textId="0ABE2CCF" w:rsidR="002D1DBB" w:rsidRPr="00F030A9" w:rsidRDefault="00795CCC" w:rsidP="00A260A4">
            <w:pPr>
              <w:rPr>
                <w:rFonts w:ascii="Arial" w:hAnsi="Arial" w:cs="Arial"/>
              </w:rPr>
            </w:pPr>
            <w:r>
              <w:rPr>
                <w:rFonts w:ascii="Arial" w:hAnsi="Arial" w:cs="Arial"/>
              </w:rPr>
              <w:t>115</w:t>
            </w:r>
          </w:p>
        </w:tc>
      </w:tr>
      <w:tr w:rsidR="003926AF" w:rsidRPr="00F030A9" w14:paraId="6C25F855" w14:textId="77777777" w:rsidTr="00A260A4">
        <w:tc>
          <w:tcPr>
            <w:tcW w:w="1705" w:type="dxa"/>
            <w:shd w:val="clear" w:color="auto" w:fill="D9D9D9" w:themeFill="background1" w:themeFillShade="D9"/>
          </w:tcPr>
          <w:p w14:paraId="2394ED4C" w14:textId="77777777" w:rsidR="003926AF" w:rsidRPr="00F030A9" w:rsidRDefault="003926AF" w:rsidP="00A260A4">
            <w:pPr>
              <w:rPr>
                <w:rFonts w:ascii="Arial" w:eastAsia="Calibri" w:hAnsi="Arial" w:cs="Arial"/>
                <w:b/>
                <w:bCs/>
                <w:color w:val="000000"/>
              </w:rPr>
            </w:pPr>
            <w:r w:rsidRPr="00F030A9">
              <w:rPr>
                <w:rFonts w:ascii="Arial" w:eastAsia="Calibri" w:hAnsi="Arial" w:cs="Arial"/>
                <w:b/>
                <w:bCs/>
                <w:color w:val="000000"/>
              </w:rPr>
              <w:t xml:space="preserve">Right to Counsel services** </w:t>
            </w:r>
          </w:p>
        </w:tc>
        <w:tc>
          <w:tcPr>
            <w:tcW w:w="810" w:type="dxa"/>
            <w:shd w:val="clear" w:color="auto" w:fill="D9D9D9" w:themeFill="background1" w:themeFillShade="D9"/>
          </w:tcPr>
          <w:p w14:paraId="2C26678F" w14:textId="77777777" w:rsidR="003926AF" w:rsidRDefault="003926AF" w:rsidP="00A260A4">
            <w:pPr>
              <w:rPr>
                <w:rFonts w:ascii="Arial" w:hAnsi="Arial" w:cs="Arial"/>
              </w:rPr>
            </w:pPr>
          </w:p>
          <w:p w14:paraId="236048AA" w14:textId="050534C8" w:rsidR="00D70B02" w:rsidRPr="00F030A9" w:rsidRDefault="008672F7" w:rsidP="00A260A4">
            <w:pPr>
              <w:rPr>
                <w:rFonts w:ascii="Arial" w:hAnsi="Arial" w:cs="Arial"/>
              </w:rPr>
            </w:pPr>
            <w:r>
              <w:rPr>
                <w:rFonts w:ascii="Arial" w:hAnsi="Arial" w:cs="Arial"/>
              </w:rPr>
              <w:t>4</w:t>
            </w:r>
          </w:p>
        </w:tc>
        <w:tc>
          <w:tcPr>
            <w:tcW w:w="900" w:type="dxa"/>
            <w:shd w:val="clear" w:color="auto" w:fill="D9D9D9" w:themeFill="background1" w:themeFillShade="D9"/>
          </w:tcPr>
          <w:p w14:paraId="7F80B4FE" w14:textId="77777777" w:rsidR="003926AF" w:rsidRDefault="003926AF" w:rsidP="00A260A4">
            <w:pPr>
              <w:rPr>
                <w:rFonts w:ascii="Arial" w:hAnsi="Arial" w:cs="Arial"/>
              </w:rPr>
            </w:pPr>
          </w:p>
          <w:p w14:paraId="3FD0633F" w14:textId="21B15188" w:rsidR="008024D6" w:rsidRPr="00F030A9" w:rsidRDefault="00CE1427" w:rsidP="00A260A4">
            <w:pPr>
              <w:rPr>
                <w:rFonts w:ascii="Arial" w:hAnsi="Arial" w:cs="Arial"/>
              </w:rPr>
            </w:pPr>
            <w:r>
              <w:rPr>
                <w:rFonts w:ascii="Arial" w:hAnsi="Arial" w:cs="Arial"/>
              </w:rPr>
              <w:t>44</w:t>
            </w:r>
          </w:p>
        </w:tc>
        <w:tc>
          <w:tcPr>
            <w:tcW w:w="961" w:type="dxa"/>
            <w:shd w:val="clear" w:color="auto" w:fill="D9D9D9" w:themeFill="background1" w:themeFillShade="D9"/>
          </w:tcPr>
          <w:p w14:paraId="4BA97CD3" w14:textId="77777777" w:rsidR="003926AF" w:rsidRDefault="003926AF" w:rsidP="00A260A4">
            <w:pPr>
              <w:rPr>
                <w:rFonts w:ascii="Arial" w:hAnsi="Arial" w:cs="Arial"/>
              </w:rPr>
            </w:pPr>
          </w:p>
          <w:p w14:paraId="387C3849" w14:textId="3F065DC1" w:rsidR="008024D6" w:rsidRPr="00F030A9" w:rsidRDefault="00CE1427" w:rsidP="00A260A4">
            <w:pPr>
              <w:rPr>
                <w:rFonts w:ascii="Arial" w:hAnsi="Arial" w:cs="Arial"/>
              </w:rPr>
            </w:pPr>
            <w:r>
              <w:rPr>
                <w:rFonts w:ascii="Arial" w:hAnsi="Arial" w:cs="Arial"/>
              </w:rPr>
              <w:t>15</w:t>
            </w:r>
          </w:p>
        </w:tc>
        <w:tc>
          <w:tcPr>
            <w:tcW w:w="839" w:type="dxa"/>
            <w:shd w:val="clear" w:color="auto" w:fill="D9D9D9" w:themeFill="background1" w:themeFillShade="D9"/>
          </w:tcPr>
          <w:p w14:paraId="4A9BD68F" w14:textId="77777777" w:rsidR="003926AF" w:rsidRDefault="003926AF" w:rsidP="00A260A4">
            <w:pPr>
              <w:rPr>
                <w:rFonts w:ascii="Arial" w:hAnsi="Arial" w:cs="Arial"/>
              </w:rPr>
            </w:pPr>
          </w:p>
          <w:p w14:paraId="10881E8A" w14:textId="0740CBA1" w:rsidR="008024D6" w:rsidRPr="00F030A9" w:rsidRDefault="000045B1" w:rsidP="00A260A4">
            <w:pPr>
              <w:rPr>
                <w:rFonts w:ascii="Arial" w:hAnsi="Arial" w:cs="Arial"/>
              </w:rPr>
            </w:pPr>
            <w:r>
              <w:rPr>
                <w:rFonts w:ascii="Arial" w:hAnsi="Arial" w:cs="Arial"/>
              </w:rPr>
              <w:t>63</w:t>
            </w:r>
          </w:p>
        </w:tc>
        <w:tc>
          <w:tcPr>
            <w:tcW w:w="1260" w:type="dxa"/>
            <w:shd w:val="clear" w:color="auto" w:fill="D9D9D9" w:themeFill="background1" w:themeFillShade="D9"/>
          </w:tcPr>
          <w:p w14:paraId="1F53C397" w14:textId="77777777" w:rsidR="003926AF" w:rsidRDefault="003926AF" w:rsidP="00A260A4">
            <w:pPr>
              <w:rPr>
                <w:rFonts w:ascii="Arial" w:hAnsi="Arial" w:cs="Arial"/>
              </w:rPr>
            </w:pPr>
          </w:p>
          <w:p w14:paraId="51085BB0" w14:textId="6E27F77D" w:rsidR="001938EE" w:rsidRPr="00F030A9" w:rsidRDefault="00131F6C" w:rsidP="00A260A4">
            <w:pPr>
              <w:rPr>
                <w:rFonts w:ascii="Arial" w:hAnsi="Arial" w:cs="Arial"/>
              </w:rPr>
            </w:pPr>
            <w:r>
              <w:rPr>
                <w:rFonts w:ascii="Arial" w:hAnsi="Arial" w:cs="Arial"/>
              </w:rPr>
              <w:t>4</w:t>
            </w:r>
          </w:p>
        </w:tc>
        <w:tc>
          <w:tcPr>
            <w:tcW w:w="1350" w:type="dxa"/>
            <w:shd w:val="clear" w:color="auto" w:fill="D9D9D9" w:themeFill="background1" w:themeFillShade="D9"/>
          </w:tcPr>
          <w:p w14:paraId="64C97541" w14:textId="77777777" w:rsidR="003926AF" w:rsidRDefault="003926AF" w:rsidP="00A260A4">
            <w:pPr>
              <w:rPr>
                <w:rFonts w:ascii="Arial" w:hAnsi="Arial" w:cs="Arial"/>
              </w:rPr>
            </w:pPr>
          </w:p>
          <w:p w14:paraId="48B25AAF" w14:textId="735FD466" w:rsidR="001938EE" w:rsidRPr="00F030A9" w:rsidRDefault="00131F6C" w:rsidP="00A260A4">
            <w:pPr>
              <w:rPr>
                <w:rFonts w:ascii="Arial" w:hAnsi="Arial" w:cs="Arial"/>
              </w:rPr>
            </w:pPr>
            <w:r>
              <w:rPr>
                <w:rFonts w:ascii="Arial" w:hAnsi="Arial" w:cs="Arial"/>
              </w:rPr>
              <w:t>5</w:t>
            </w:r>
          </w:p>
        </w:tc>
        <w:tc>
          <w:tcPr>
            <w:tcW w:w="1080" w:type="dxa"/>
            <w:shd w:val="clear" w:color="auto" w:fill="D9D9D9" w:themeFill="background1" w:themeFillShade="D9"/>
          </w:tcPr>
          <w:p w14:paraId="367AFF58" w14:textId="77777777" w:rsidR="003926AF" w:rsidRDefault="003926AF" w:rsidP="00A260A4">
            <w:pPr>
              <w:rPr>
                <w:rFonts w:ascii="Arial" w:hAnsi="Arial" w:cs="Arial"/>
              </w:rPr>
            </w:pPr>
          </w:p>
          <w:p w14:paraId="7D4DCD0D" w14:textId="7608B7C2" w:rsidR="001938EE" w:rsidRPr="00F030A9" w:rsidRDefault="001938EE" w:rsidP="00A260A4">
            <w:pPr>
              <w:rPr>
                <w:rFonts w:ascii="Arial" w:hAnsi="Arial" w:cs="Arial"/>
              </w:rPr>
            </w:pPr>
            <w:r>
              <w:rPr>
                <w:rFonts w:ascii="Arial" w:hAnsi="Arial" w:cs="Arial"/>
              </w:rPr>
              <w:t>0</w:t>
            </w:r>
          </w:p>
        </w:tc>
        <w:tc>
          <w:tcPr>
            <w:tcW w:w="941" w:type="dxa"/>
            <w:shd w:val="clear" w:color="auto" w:fill="D9D9D9" w:themeFill="background1" w:themeFillShade="D9"/>
          </w:tcPr>
          <w:p w14:paraId="5D251CEC" w14:textId="77777777" w:rsidR="003926AF" w:rsidRDefault="003926AF" w:rsidP="00A260A4">
            <w:pPr>
              <w:rPr>
                <w:rFonts w:ascii="Arial" w:hAnsi="Arial" w:cs="Arial"/>
              </w:rPr>
            </w:pPr>
          </w:p>
          <w:p w14:paraId="2CC077FD" w14:textId="1C9217A6" w:rsidR="001938EE" w:rsidRPr="00F030A9" w:rsidRDefault="00280C85" w:rsidP="00A260A4">
            <w:pPr>
              <w:rPr>
                <w:rFonts w:ascii="Arial" w:hAnsi="Arial" w:cs="Arial"/>
              </w:rPr>
            </w:pPr>
            <w:r>
              <w:rPr>
                <w:rFonts w:ascii="Arial" w:hAnsi="Arial" w:cs="Arial"/>
              </w:rPr>
              <w:t>9</w:t>
            </w:r>
          </w:p>
        </w:tc>
        <w:tc>
          <w:tcPr>
            <w:tcW w:w="1219" w:type="dxa"/>
            <w:shd w:val="clear" w:color="auto" w:fill="D9D9D9" w:themeFill="background1" w:themeFillShade="D9"/>
          </w:tcPr>
          <w:p w14:paraId="06147A72" w14:textId="77777777" w:rsidR="003926AF" w:rsidRDefault="003926AF" w:rsidP="00A260A4">
            <w:pPr>
              <w:rPr>
                <w:rFonts w:ascii="Arial" w:hAnsi="Arial" w:cs="Arial"/>
              </w:rPr>
            </w:pPr>
          </w:p>
          <w:p w14:paraId="6EC7FFF2" w14:textId="7E9CFCF6" w:rsidR="00BF0AAB" w:rsidRPr="00F030A9" w:rsidRDefault="00280C85" w:rsidP="00A260A4">
            <w:pPr>
              <w:rPr>
                <w:rFonts w:ascii="Arial" w:hAnsi="Arial" w:cs="Arial"/>
              </w:rPr>
            </w:pPr>
            <w:r>
              <w:rPr>
                <w:rFonts w:ascii="Arial" w:hAnsi="Arial" w:cs="Arial"/>
              </w:rPr>
              <w:t>4</w:t>
            </w:r>
          </w:p>
        </w:tc>
        <w:tc>
          <w:tcPr>
            <w:tcW w:w="969" w:type="dxa"/>
            <w:shd w:val="clear" w:color="auto" w:fill="D9D9D9" w:themeFill="background1" w:themeFillShade="D9"/>
          </w:tcPr>
          <w:p w14:paraId="2B01907D" w14:textId="77777777" w:rsidR="003926AF" w:rsidRDefault="003926AF" w:rsidP="00A260A4">
            <w:pPr>
              <w:rPr>
                <w:rFonts w:ascii="Arial" w:hAnsi="Arial" w:cs="Arial"/>
              </w:rPr>
            </w:pPr>
          </w:p>
          <w:p w14:paraId="09B2DB5B" w14:textId="1016E6C2" w:rsidR="00BF0AAB" w:rsidRPr="00F030A9" w:rsidRDefault="000578C2" w:rsidP="00A260A4">
            <w:pPr>
              <w:rPr>
                <w:rFonts w:ascii="Arial" w:hAnsi="Arial" w:cs="Arial"/>
              </w:rPr>
            </w:pPr>
            <w:r>
              <w:rPr>
                <w:rFonts w:ascii="Arial" w:hAnsi="Arial" w:cs="Arial"/>
              </w:rPr>
              <w:t>22</w:t>
            </w:r>
          </w:p>
        </w:tc>
        <w:tc>
          <w:tcPr>
            <w:tcW w:w="1094" w:type="dxa"/>
            <w:shd w:val="clear" w:color="auto" w:fill="D9D9D9" w:themeFill="background1" w:themeFillShade="D9"/>
          </w:tcPr>
          <w:p w14:paraId="3DB855BE" w14:textId="77777777" w:rsidR="003926AF" w:rsidRDefault="003926AF" w:rsidP="00A260A4">
            <w:pPr>
              <w:rPr>
                <w:rFonts w:ascii="Arial" w:hAnsi="Arial" w:cs="Arial"/>
              </w:rPr>
            </w:pPr>
          </w:p>
          <w:p w14:paraId="2D95F007" w14:textId="3B99F537" w:rsidR="00BF0AAB" w:rsidRPr="00F030A9" w:rsidRDefault="002F0180" w:rsidP="00A260A4">
            <w:pPr>
              <w:rPr>
                <w:rFonts w:ascii="Arial" w:hAnsi="Arial" w:cs="Arial"/>
              </w:rPr>
            </w:pPr>
            <w:r>
              <w:rPr>
                <w:rFonts w:ascii="Arial" w:hAnsi="Arial" w:cs="Arial"/>
              </w:rPr>
              <w:t>85</w:t>
            </w:r>
          </w:p>
        </w:tc>
      </w:tr>
    </w:tbl>
    <w:p w14:paraId="07B4D323" w14:textId="77777777" w:rsidR="003926AF" w:rsidRDefault="003926AF" w:rsidP="003926AF">
      <w:pPr>
        <w:rPr>
          <w:rFonts w:ascii="Arial" w:hAnsi="Arial" w:cs="Arial"/>
          <w:b/>
          <w:bCs/>
          <w:szCs w:val="20"/>
        </w:rPr>
      </w:pPr>
    </w:p>
    <w:p w14:paraId="3F149BBD" w14:textId="77777777" w:rsidR="003926AF" w:rsidRPr="00A05A3E" w:rsidRDefault="003926AF" w:rsidP="003926AF">
      <w:pPr>
        <w:rPr>
          <w:rFonts w:ascii="Arial" w:hAnsi="Arial" w:cs="Arial"/>
          <w:b/>
          <w:bCs/>
          <w:szCs w:val="20"/>
        </w:rPr>
      </w:pPr>
      <w:r w:rsidRPr="601725FD">
        <w:rPr>
          <w:rFonts w:ascii="Arial" w:hAnsi="Arial" w:cs="Arial"/>
          <w:b/>
          <w:bCs/>
          <w:szCs w:val="20"/>
        </w:rPr>
        <w:t>*SMPP = Unduplicated Santa Monica Program Participants</w:t>
      </w:r>
    </w:p>
    <w:p w14:paraId="17377867" w14:textId="14A77A14" w:rsidR="004B2A13" w:rsidRDefault="003926AF" w:rsidP="003926AF">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601725FD">
        <w:rPr>
          <w:rFonts w:ascii="Arial" w:hAnsi="Arial" w:cs="Arial"/>
          <w:b/>
          <w:bCs/>
          <w:szCs w:val="20"/>
        </w:rPr>
        <w:t>** funded separately through City Attorney’s Office</w:t>
      </w: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3BE63A2A" w14:textId="77777777" w:rsidR="008222EA" w:rsidRPr="008222EA" w:rsidRDefault="008222EA" w:rsidP="008222EA"/>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031CB509" w14:textId="77777777" w:rsidR="008222EA" w:rsidRDefault="008222EA"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06A6F03" w14:textId="4885F999" w:rsidR="00BF7E36" w:rsidRDefault="009079C0"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cs="Arial"/>
          <w:b w:val="0"/>
          <w:szCs w:val="21"/>
          <w:u w:val="none"/>
        </w:rPr>
      </w:pPr>
      <w:r w:rsidRPr="00756472">
        <w:rPr>
          <w:rFonts w:cs="Arial"/>
          <w:b w:val="0"/>
          <w:szCs w:val="21"/>
          <w:u w:val="none"/>
        </w:rPr>
        <w:t xml:space="preserve">At year end, </w:t>
      </w:r>
      <w:r w:rsidR="008101B6" w:rsidRPr="00756472">
        <w:rPr>
          <w:rFonts w:cs="Arial"/>
          <w:b w:val="0"/>
          <w:szCs w:val="21"/>
          <w:u w:val="none"/>
        </w:rPr>
        <w:t xml:space="preserve">LAFLA </w:t>
      </w:r>
      <w:r w:rsidR="00897BCB" w:rsidRPr="00756472">
        <w:rPr>
          <w:rFonts w:cs="Arial"/>
          <w:b w:val="0"/>
          <w:szCs w:val="21"/>
          <w:u w:val="none"/>
        </w:rPr>
        <w:t>was at 89% of its goal</w:t>
      </w:r>
      <w:r w:rsidR="00A86304" w:rsidRPr="00756472">
        <w:rPr>
          <w:rFonts w:cs="Arial"/>
          <w:b w:val="0"/>
          <w:szCs w:val="21"/>
          <w:u w:val="none"/>
        </w:rPr>
        <w:t xml:space="preserve"> for total cases on behalf of low-income Santa Monica residents, just </w:t>
      </w:r>
      <w:r w:rsidR="00904E54" w:rsidRPr="00756472">
        <w:rPr>
          <w:rFonts w:cs="Arial"/>
          <w:b w:val="0"/>
          <w:szCs w:val="21"/>
          <w:u w:val="none"/>
        </w:rPr>
        <w:t xml:space="preserve">barely </w:t>
      </w:r>
      <w:r w:rsidR="00A86304" w:rsidRPr="00756472">
        <w:rPr>
          <w:rFonts w:cs="Arial"/>
          <w:b w:val="0"/>
          <w:szCs w:val="21"/>
          <w:u w:val="none"/>
        </w:rPr>
        <w:t xml:space="preserve">outside </w:t>
      </w:r>
      <w:r w:rsidR="00904E54" w:rsidRPr="00756472">
        <w:rPr>
          <w:rFonts w:cs="Arial"/>
          <w:b w:val="0"/>
          <w:szCs w:val="21"/>
          <w:u w:val="none"/>
        </w:rPr>
        <w:t xml:space="preserve">of the 10% </w:t>
      </w:r>
      <w:r w:rsidR="00527547">
        <w:rPr>
          <w:rFonts w:cs="Arial"/>
          <w:b w:val="0"/>
          <w:szCs w:val="21"/>
          <w:u w:val="none"/>
        </w:rPr>
        <w:t>variance</w:t>
      </w:r>
      <w:r w:rsidR="00904E54" w:rsidRPr="00756472">
        <w:rPr>
          <w:rFonts w:cs="Arial"/>
          <w:b w:val="0"/>
          <w:szCs w:val="21"/>
          <w:u w:val="none"/>
        </w:rPr>
        <w:t xml:space="preserve"> range.</w:t>
      </w:r>
      <w:r w:rsidR="00B3584C">
        <w:rPr>
          <w:rFonts w:cs="Arial"/>
          <w:b w:val="0"/>
          <w:szCs w:val="21"/>
          <w:u w:val="none"/>
        </w:rPr>
        <w:t xml:space="preserve"> </w:t>
      </w:r>
      <w:r w:rsidR="005B54F5" w:rsidRPr="00756472">
        <w:rPr>
          <w:rFonts w:cs="Arial"/>
          <w:b w:val="0"/>
          <w:szCs w:val="21"/>
          <w:u w:val="none"/>
        </w:rPr>
        <w:t>We believe this is a very successful outcome</w:t>
      </w:r>
      <w:r w:rsidR="00DD204D">
        <w:rPr>
          <w:rFonts w:cs="Arial"/>
          <w:b w:val="0"/>
          <w:szCs w:val="21"/>
          <w:u w:val="none"/>
        </w:rPr>
        <w:t xml:space="preserve">, especially given the fluctuating nature of COVID-19 during the </w:t>
      </w:r>
      <w:r w:rsidR="004D6979">
        <w:rPr>
          <w:rFonts w:cs="Arial"/>
          <w:b w:val="0"/>
          <w:szCs w:val="21"/>
          <w:u w:val="none"/>
        </w:rPr>
        <w:t xml:space="preserve">reporting </w:t>
      </w:r>
      <w:r w:rsidR="00DD204D">
        <w:rPr>
          <w:rFonts w:cs="Arial"/>
          <w:b w:val="0"/>
          <w:szCs w:val="21"/>
          <w:u w:val="none"/>
        </w:rPr>
        <w:t>period</w:t>
      </w:r>
      <w:r w:rsidR="00717B3C" w:rsidRPr="00756472">
        <w:rPr>
          <w:rFonts w:cs="Arial"/>
          <w:b w:val="0"/>
          <w:szCs w:val="21"/>
          <w:u w:val="none"/>
        </w:rPr>
        <w:t>.</w:t>
      </w:r>
      <w:r w:rsidR="00B3584C">
        <w:rPr>
          <w:rFonts w:cs="Arial"/>
          <w:b w:val="0"/>
          <w:szCs w:val="21"/>
          <w:u w:val="none"/>
        </w:rPr>
        <w:t xml:space="preserve"> </w:t>
      </w:r>
      <w:r w:rsidR="007453E9">
        <w:rPr>
          <w:rFonts w:cs="Arial"/>
          <w:b w:val="0"/>
          <w:szCs w:val="21"/>
          <w:u w:val="none"/>
        </w:rPr>
        <w:t xml:space="preserve">We also </w:t>
      </w:r>
      <w:r w:rsidR="00F80E3A">
        <w:rPr>
          <w:rFonts w:cs="Arial"/>
          <w:b w:val="0"/>
          <w:szCs w:val="21"/>
          <w:u w:val="none"/>
        </w:rPr>
        <w:t>had</w:t>
      </w:r>
      <w:r w:rsidR="007453E9">
        <w:rPr>
          <w:rFonts w:cs="Arial"/>
          <w:b w:val="0"/>
          <w:szCs w:val="21"/>
          <w:u w:val="none"/>
        </w:rPr>
        <w:t xml:space="preserve"> one housing attorney take an extended leave for the last </w:t>
      </w:r>
      <w:r w:rsidR="002E4EC4">
        <w:rPr>
          <w:rFonts w:cs="Arial"/>
          <w:b w:val="0"/>
          <w:szCs w:val="21"/>
          <w:u w:val="none"/>
        </w:rPr>
        <w:t xml:space="preserve">two months of the period, which </w:t>
      </w:r>
      <w:r w:rsidR="00EB0322">
        <w:rPr>
          <w:rFonts w:cs="Arial"/>
          <w:b w:val="0"/>
          <w:szCs w:val="21"/>
          <w:u w:val="none"/>
        </w:rPr>
        <w:t xml:space="preserve">temporarily </w:t>
      </w:r>
      <w:r w:rsidR="002E4EC4">
        <w:rPr>
          <w:rFonts w:cs="Arial"/>
          <w:b w:val="0"/>
          <w:szCs w:val="21"/>
          <w:u w:val="none"/>
        </w:rPr>
        <w:t>reduced available attorneys and our capacity to take more cases.</w:t>
      </w:r>
      <w:r w:rsidR="00B3584C">
        <w:rPr>
          <w:rFonts w:cs="Arial"/>
          <w:b w:val="0"/>
          <w:szCs w:val="21"/>
          <w:u w:val="none"/>
        </w:rPr>
        <w:t xml:space="preserve"> </w:t>
      </w:r>
      <w:r w:rsidR="00E8298B">
        <w:rPr>
          <w:rFonts w:cs="Arial"/>
          <w:b w:val="0"/>
          <w:szCs w:val="21"/>
          <w:u w:val="none"/>
        </w:rPr>
        <w:t xml:space="preserve">We are confident these numbers will </w:t>
      </w:r>
      <w:r w:rsidR="004D6979">
        <w:rPr>
          <w:rFonts w:cs="Arial"/>
          <w:b w:val="0"/>
          <w:szCs w:val="21"/>
          <w:u w:val="none"/>
        </w:rPr>
        <w:t xml:space="preserve">increase </w:t>
      </w:r>
      <w:r w:rsidR="00E8298B">
        <w:rPr>
          <w:rFonts w:cs="Arial"/>
          <w:b w:val="0"/>
          <w:szCs w:val="21"/>
          <w:u w:val="none"/>
        </w:rPr>
        <w:t>in the next grant year</w:t>
      </w:r>
      <w:r w:rsidR="007E31FF">
        <w:rPr>
          <w:rFonts w:cs="Arial"/>
          <w:b w:val="0"/>
          <w:szCs w:val="21"/>
          <w:u w:val="none"/>
        </w:rPr>
        <w:t xml:space="preserve"> when the</w:t>
      </w:r>
      <w:r w:rsidR="004D6979">
        <w:rPr>
          <w:rFonts w:cs="Arial"/>
          <w:b w:val="0"/>
          <w:szCs w:val="21"/>
          <w:u w:val="none"/>
        </w:rPr>
        <w:t xml:space="preserve"> attorney</w:t>
      </w:r>
      <w:r w:rsidR="007E31FF">
        <w:rPr>
          <w:rFonts w:cs="Arial"/>
          <w:b w:val="0"/>
          <w:szCs w:val="21"/>
          <w:u w:val="none"/>
        </w:rPr>
        <w:t xml:space="preserve"> return</w:t>
      </w:r>
      <w:r w:rsidR="004D6979">
        <w:rPr>
          <w:rFonts w:cs="Arial"/>
          <w:b w:val="0"/>
          <w:szCs w:val="21"/>
          <w:u w:val="none"/>
        </w:rPr>
        <w:t>s</w:t>
      </w:r>
      <w:r w:rsidR="00E8298B">
        <w:rPr>
          <w:rFonts w:cs="Arial"/>
          <w:b w:val="0"/>
          <w:szCs w:val="21"/>
          <w:u w:val="none"/>
        </w:rPr>
        <w:t>.</w:t>
      </w:r>
    </w:p>
    <w:p w14:paraId="611985FF" w14:textId="2B366A78" w:rsidR="00745191" w:rsidRPr="00A04248" w:rsidRDefault="00745191" w:rsidP="00745191">
      <w:pPr>
        <w:rPr>
          <w:rFonts w:ascii="Arial" w:hAnsi="Arial" w:cs="Arial"/>
          <w:sz w:val="21"/>
          <w:szCs w:val="21"/>
        </w:rPr>
      </w:pPr>
    </w:p>
    <w:p w14:paraId="619F4779" w14:textId="45F00F1B" w:rsidR="00745191" w:rsidRPr="00A04248" w:rsidRDefault="00745191" w:rsidP="00745191">
      <w:pPr>
        <w:rPr>
          <w:rFonts w:ascii="Arial" w:hAnsi="Arial" w:cs="Arial"/>
          <w:sz w:val="21"/>
          <w:szCs w:val="21"/>
        </w:rPr>
      </w:pPr>
      <w:r w:rsidRPr="00A04248">
        <w:rPr>
          <w:rFonts w:ascii="Arial" w:hAnsi="Arial" w:cs="Arial"/>
          <w:sz w:val="21"/>
          <w:szCs w:val="21"/>
        </w:rPr>
        <w:t xml:space="preserve">LAFLA assisted 705 unduplicated </w:t>
      </w:r>
      <w:r w:rsidR="007E31FF">
        <w:rPr>
          <w:rFonts w:ascii="Arial" w:hAnsi="Arial" w:cs="Arial"/>
          <w:sz w:val="21"/>
          <w:szCs w:val="21"/>
        </w:rPr>
        <w:t>Santa Monica</w:t>
      </w:r>
      <w:r w:rsidR="00C07B29" w:rsidRPr="00A04248">
        <w:rPr>
          <w:rFonts w:ascii="Arial" w:hAnsi="Arial" w:cs="Arial"/>
          <w:sz w:val="21"/>
          <w:szCs w:val="21"/>
        </w:rPr>
        <w:t xml:space="preserve"> participants</w:t>
      </w:r>
      <w:r w:rsidR="00166F1D" w:rsidRPr="00A04248">
        <w:rPr>
          <w:rFonts w:ascii="Arial" w:hAnsi="Arial" w:cs="Arial"/>
          <w:sz w:val="21"/>
          <w:szCs w:val="21"/>
        </w:rPr>
        <w:t xml:space="preserve">, which is </w:t>
      </w:r>
      <w:r w:rsidR="00DA1340" w:rsidRPr="00A04248">
        <w:rPr>
          <w:rFonts w:ascii="Arial" w:hAnsi="Arial" w:cs="Arial"/>
          <w:sz w:val="21"/>
          <w:szCs w:val="21"/>
        </w:rPr>
        <w:t>83% of the annual goal.</w:t>
      </w:r>
      <w:r w:rsidR="00B3584C">
        <w:rPr>
          <w:rFonts w:ascii="Arial" w:hAnsi="Arial" w:cs="Arial"/>
          <w:sz w:val="21"/>
          <w:szCs w:val="21"/>
        </w:rPr>
        <w:t xml:space="preserve"> </w:t>
      </w:r>
      <w:r w:rsidR="00DA1340" w:rsidRPr="00A04248">
        <w:rPr>
          <w:rFonts w:ascii="Arial" w:hAnsi="Arial" w:cs="Arial"/>
          <w:sz w:val="21"/>
          <w:szCs w:val="21"/>
        </w:rPr>
        <w:t xml:space="preserve">Interestingly, the number of </w:t>
      </w:r>
      <w:r w:rsidR="004E1382">
        <w:rPr>
          <w:rFonts w:ascii="Arial" w:hAnsi="Arial" w:cs="Arial"/>
          <w:sz w:val="21"/>
          <w:szCs w:val="21"/>
        </w:rPr>
        <w:t xml:space="preserve">new </w:t>
      </w:r>
      <w:r w:rsidR="00DA1340" w:rsidRPr="00A04248">
        <w:rPr>
          <w:rFonts w:ascii="Arial" w:hAnsi="Arial" w:cs="Arial"/>
          <w:sz w:val="21"/>
          <w:szCs w:val="21"/>
        </w:rPr>
        <w:t xml:space="preserve">unduplicated clients dropped </w:t>
      </w:r>
      <w:r w:rsidR="0074253F" w:rsidRPr="00A04248">
        <w:rPr>
          <w:rFonts w:ascii="Arial" w:hAnsi="Arial" w:cs="Arial"/>
          <w:sz w:val="21"/>
          <w:szCs w:val="21"/>
        </w:rPr>
        <w:t xml:space="preserve">39% between the </w:t>
      </w:r>
      <w:r w:rsidR="001272A9" w:rsidRPr="00A04248">
        <w:rPr>
          <w:rFonts w:ascii="Arial" w:hAnsi="Arial" w:cs="Arial"/>
          <w:sz w:val="21"/>
          <w:szCs w:val="21"/>
        </w:rPr>
        <w:t xml:space="preserve">first and second half of the grant year, but </w:t>
      </w:r>
      <w:r w:rsidR="0028378D" w:rsidRPr="00A04248">
        <w:rPr>
          <w:rFonts w:ascii="Arial" w:hAnsi="Arial" w:cs="Arial"/>
          <w:sz w:val="21"/>
          <w:szCs w:val="21"/>
        </w:rPr>
        <w:t xml:space="preserve">the number of </w:t>
      </w:r>
      <w:r w:rsidR="003E234F" w:rsidRPr="00A04248">
        <w:rPr>
          <w:rFonts w:ascii="Arial" w:hAnsi="Arial" w:cs="Arial"/>
          <w:sz w:val="21"/>
          <w:szCs w:val="21"/>
        </w:rPr>
        <w:t>closed cases remained consistent.</w:t>
      </w:r>
      <w:r w:rsidR="00B3584C">
        <w:rPr>
          <w:rFonts w:ascii="Arial" w:hAnsi="Arial" w:cs="Arial"/>
          <w:sz w:val="21"/>
          <w:szCs w:val="21"/>
        </w:rPr>
        <w:t xml:space="preserve"> </w:t>
      </w:r>
      <w:r w:rsidR="003E234F" w:rsidRPr="00A04248">
        <w:rPr>
          <w:rFonts w:ascii="Arial" w:hAnsi="Arial" w:cs="Arial"/>
          <w:sz w:val="21"/>
          <w:szCs w:val="21"/>
        </w:rPr>
        <w:t xml:space="preserve">This </w:t>
      </w:r>
      <w:r w:rsidR="009D3DDC" w:rsidRPr="00A04248">
        <w:rPr>
          <w:rFonts w:ascii="Arial" w:hAnsi="Arial" w:cs="Arial"/>
          <w:sz w:val="21"/>
          <w:szCs w:val="21"/>
        </w:rPr>
        <w:t>is notable</w:t>
      </w:r>
      <w:r w:rsidR="004D6979">
        <w:rPr>
          <w:rFonts w:ascii="Arial" w:hAnsi="Arial" w:cs="Arial"/>
          <w:sz w:val="21"/>
          <w:szCs w:val="21"/>
        </w:rPr>
        <w:t>,</w:t>
      </w:r>
      <w:r w:rsidR="009D3DDC" w:rsidRPr="00A04248">
        <w:rPr>
          <w:rFonts w:ascii="Arial" w:hAnsi="Arial" w:cs="Arial"/>
          <w:sz w:val="21"/>
          <w:szCs w:val="21"/>
        </w:rPr>
        <w:t xml:space="preserve"> because it </w:t>
      </w:r>
      <w:r w:rsidR="009776CF" w:rsidRPr="00A04248">
        <w:rPr>
          <w:rFonts w:ascii="Arial" w:hAnsi="Arial" w:cs="Arial"/>
          <w:sz w:val="21"/>
          <w:szCs w:val="21"/>
        </w:rPr>
        <w:t xml:space="preserve">illustrates what </w:t>
      </w:r>
      <w:r w:rsidR="004D6979">
        <w:rPr>
          <w:rFonts w:ascii="Arial" w:hAnsi="Arial" w:cs="Arial"/>
          <w:sz w:val="21"/>
          <w:szCs w:val="21"/>
        </w:rPr>
        <w:t>LAFLA</w:t>
      </w:r>
      <w:r w:rsidR="004D6979" w:rsidRPr="00A04248">
        <w:rPr>
          <w:rFonts w:ascii="Arial" w:hAnsi="Arial" w:cs="Arial"/>
          <w:sz w:val="21"/>
          <w:szCs w:val="21"/>
        </w:rPr>
        <w:t xml:space="preserve"> </w:t>
      </w:r>
      <w:r w:rsidR="009776CF" w:rsidRPr="00A04248">
        <w:rPr>
          <w:rFonts w:ascii="Arial" w:hAnsi="Arial" w:cs="Arial"/>
          <w:sz w:val="21"/>
          <w:szCs w:val="21"/>
        </w:rPr>
        <w:t>attorneys</w:t>
      </w:r>
      <w:r w:rsidR="009D3DDC" w:rsidRPr="00A04248">
        <w:rPr>
          <w:rFonts w:ascii="Arial" w:hAnsi="Arial" w:cs="Arial"/>
          <w:sz w:val="21"/>
          <w:szCs w:val="21"/>
        </w:rPr>
        <w:t xml:space="preserve"> </w:t>
      </w:r>
      <w:r w:rsidR="009776CF" w:rsidRPr="00A04248">
        <w:rPr>
          <w:rFonts w:ascii="Arial" w:hAnsi="Arial" w:cs="Arial"/>
          <w:sz w:val="21"/>
          <w:szCs w:val="21"/>
        </w:rPr>
        <w:t xml:space="preserve">already know – the </w:t>
      </w:r>
      <w:r w:rsidR="009A5858" w:rsidRPr="00A04248">
        <w:rPr>
          <w:rFonts w:ascii="Arial" w:hAnsi="Arial" w:cs="Arial"/>
          <w:sz w:val="21"/>
          <w:szCs w:val="21"/>
        </w:rPr>
        <w:t xml:space="preserve">landlords most actively trying to evict </w:t>
      </w:r>
      <w:r w:rsidR="009776CF" w:rsidRPr="00A04248">
        <w:rPr>
          <w:rFonts w:ascii="Arial" w:hAnsi="Arial" w:cs="Arial"/>
          <w:sz w:val="21"/>
          <w:szCs w:val="21"/>
        </w:rPr>
        <w:t xml:space="preserve">low-income tenants keep </w:t>
      </w:r>
      <w:r w:rsidR="009A5858" w:rsidRPr="00A04248">
        <w:rPr>
          <w:rFonts w:ascii="Arial" w:hAnsi="Arial" w:cs="Arial"/>
          <w:sz w:val="21"/>
          <w:szCs w:val="21"/>
        </w:rPr>
        <w:t>filing new cases even after we defeat them the first time.</w:t>
      </w:r>
      <w:r w:rsidR="00B3584C">
        <w:rPr>
          <w:rFonts w:ascii="Arial" w:hAnsi="Arial" w:cs="Arial"/>
          <w:sz w:val="21"/>
          <w:szCs w:val="21"/>
        </w:rPr>
        <w:t xml:space="preserve"> </w:t>
      </w:r>
      <w:r w:rsidR="00741BC9" w:rsidRPr="00A04248">
        <w:rPr>
          <w:rFonts w:ascii="Arial" w:hAnsi="Arial" w:cs="Arial"/>
          <w:sz w:val="21"/>
          <w:szCs w:val="21"/>
        </w:rPr>
        <w:t>This means that the most vulnerable tenants in Santa Monica are under constant and continuing attack and threat of eviction</w:t>
      </w:r>
      <w:r w:rsidR="009D3DDC" w:rsidRPr="00A04248">
        <w:rPr>
          <w:rFonts w:ascii="Arial" w:hAnsi="Arial" w:cs="Arial"/>
          <w:sz w:val="21"/>
          <w:szCs w:val="21"/>
        </w:rPr>
        <w:t>.</w:t>
      </w:r>
      <w:r w:rsidR="00B3584C">
        <w:rPr>
          <w:rFonts w:ascii="Arial" w:hAnsi="Arial" w:cs="Arial"/>
          <w:sz w:val="21"/>
          <w:szCs w:val="21"/>
        </w:rPr>
        <w:t xml:space="preserve"> </w:t>
      </w:r>
    </w:p>
    <w:p w14:paraId="592EDB16" w14:textId="7597BEDE" w:rsidR="003E49A6" w:rsidRPr="00FB338F" w:rsidRDefault="003E49A6" w:rsidP="003E49A6">
      <w:pPr>
        <w:rPr>
          <w:rFonts w:ascii="Arial" w:hAnsi="Arial" w:cs="Arial"/>
          <w:sz w:val="21"/>
          <w:szCs w:val="21"/>
        </w:rPr>
      </w:pPr>
    </w:p>
    <w:p w14:paraId="11196A99" w14:textId="34D587C3" w:rsidR="008F64B5" w:rsidRPr="00FB338F" w:rsidRDefault="009F012C" w:rsidP="003E49A6">
      <w:pPr>
        <w:rPr>
          <w:rFonts w:ascii="Arial" w:hAnsi="Arial" w:cs="Arial"/>
          <w:sz w:val="21"/>
          <w:szCs w:val="21"/>
        </w:rPr>
      </w:pPr>
      <w:r>
        <w:rPr>
          <w:rFonts w:ascii="Arial" w:hAnsi="Arial" w:cs="Arial"/>
          <w:sz w:val="21"/>
          <w:szCs w:val="21"/>
        </w:rPr>
        <w:t>Further, we ha</w:t>
      </w:r>
      <w:r w:rsidR="00FD406B">
        <w:rPr>
          <w:rFonts w:ascii="Arial" w:hAnsi="Arial" w:cs="Arial"/>
          <w:sz w:val="21"/>
          <w:szCs w:val="21"/>
        </w:rPr>
        <w:t>d</w:t>
      </w:r>
      <w:r w:rsidR="00404BB0">
        <w:rPr>
          <w:rFonts w:ascii="Arial" w:hAnsi="Arial" w:cs="Arial"/>
          <w:sz w:val="21"/>
          <w:szCs w:val="21"/>
        </w:rPr>
        <w:t xml:space="preserve"> a </w:t>
      </w:r>
      <w:r w:rsidR="003E49A6" w:rsidRPr="00FB338F">
        <w:rPr>
          <w:rFonts w:ascii="Arial" w:hAnsi="Arial" w:cs="Arial"/>
          <w:sz w:val="21"/>
          <w:szCs w:val="21"/>
        </w:rPr>
        <w:t xml:space="preserve">52% increase in </w:t>
      </w:r>
      <w:r w:rsidR="00FD406B">
        <w:rPr>
          <w:rFonts w:ascii="Arial" w:hAnsi="Arial" w:cs="Arial"/>
          <w:sz w:val="21"/>
          <w:szCs w:val="21"/>
        </w:rPr>
        <w:t xml:space="preserve">cases remaining </w:t>
      </w:r>
      <w:r w:rsidR="003E49A6" w:rsidRPr="00FB338F">
        <w:rPr>
          <w:rFonts w:ascii="Arial" w:hAnsi="Arial" w:cs="Arial"/>
          <w:sz w:val="21"/>
          <w:szCs w:val="21"/>
        </w:rPr>
        <w:t>open</w:t>
      </w:r>
      <w:r w:rsidR="00253059">
        <w:rPr>
          <w:rFonts w:ascii="Arial" w:hAnsi="Arial" w:cs="Arial"/>
          <w:sz w:val="21"/>
          <w:szCs w:val="21"/>
        </w:rPr>
        <w:t xml:space="preserve"> </w:t>
      </w:r>
      <w:r w:rsidR="00997E8A">
        <w:rPr>
          <w:rFonts w:ascii="Arial" w:hAnsi="Arial" w:cs="Arial"/>
          <w:sz w:val="21"/>
          <w:szCs w:val="21"/>
        </w:rPr>
        <w:t>at</w:t>
      </w:r>
      <w:r w:rsidR="00253059">
        <w:rPr>
          <w:rFonts w:ascii="Arial" w:hAnsi="Arial" w:cs="Arial"/>
          <w:sz w:val="21"/>
          <w:szCs w:val="21"/>
        </w:rPr>
        <w:t xml:space="preserve"> the end of the reporting period</w:t>
      </w:r>
      <w:r w:rsidR="00404BB0">
        <w:rPr>
          <w:rFonts w:ascii="Arial" w:hAnsi="Arial" w:cs="Arial"/>
          <w:sz w:val="21"/>
          <w:szCs w:val="21"/>
        </w:rPr>
        <w:t xml:space="preserve"> versus a year ago</w:t>
      </w:r>
      <w:r w:rsidR="0047093D">
        <w:rPr>
          <w:rFonts w:ascii="Arial" w:hAnsi="Arial" w:cs="Arial"/>
          <w:sz w:val="21"/>
          <w:szCs w:val="21"/>
        </w:rPr>
        <w:t xml:space="preserve"> </w:t>
      </w:r>
      <w:r w:rsidR="0047093D" w:rsidRPr="00FB338F">
        <w:rPr>
          <w:rFonts w:ascii="Arial" w:hAnsi="Arial" w:cs="Arial"/>
          <w:sz w:val="21"/>
          <w:szCs w:val="21"/>
        </w:rPr>
        <w:t>(166 a year ago, 252 now)</w:t>
      </w:r>
      <w:r w:rsidR="00253059">
        <w:rPr>
          <w:rFonts w:ascii="Arial" w:hAnsi="Arial" w:cs="Arial"/>
          <w:sz w:val="21"/>
          <w:szCs w:val="21"/>
        </w:rPr>
        <w:t>.</w:t>
      </w:r>
      <w:r w:rsidR="00B3584C">
        <w:rPr>
          <w:rFonts w:ascii="Arial" w:hAnsi="Arial" w:cs="Arial"/>
          <w:sz w:val="21"/>
          <w:szCs w:val="21"/>
        </w:rPr>
        <w:t xml:space="preserve"> </w:t>
      </w:r>
      <w:r w:rsidR="008F64B5">
        <w:rPr>
          <w:rFonts w:ascii="Arial" w:hAnsi="Arial" w:cs="Arial"/>
          <w:sz w:val="21"/>
          <w:szCs w:val="21"/>
        </w:rPr>
        <w:t>Many of these open cases are unlawful detainers</w:t>
      </w:r>
      <w:r w:rsidR="001F16E2">
        <w:rPr>
          <w:rFonts w:ascii="Arial" w:hAnsi="Arial" w:cs="Arial"/>
          <w:sz w:val="21"/>
          <w:szCs w:val="21"/>
        </w:rPr>
        <w:t xml:space="preserve"> (</w:t>
      </w:r>
      <w:r w:rsidR="00544154">
        <w:rPr>
          <w:rFonts w:ascii="Arial" w:hAnsi="Arial" w:cs="Arial"/>
          <w:sz w:val="21"/>
          <w:szCs w:val="21"/>
        </w:rPr>
        <w:t xml:space="preserve">housing </w:t>
      </w:r>
      <w:r w:rsidR="001F16E2">
        <w:rPr>
          <w:rFonts w:ascii="Arial" w:hAnsi="Arial" w:cs="Arial"/>
          <w:sz w:val="21"/>
          <w:szCs w:val="21"/>
        </w:rPr>
        <w:t>evictions)</w:t>
      </w:r>
      <w:r w:rsidR="008F64B5">
        <w:rPr>
          <w:rFonts w:ascii="Arial" w:hAnsi="Arial" w:cs="Arial"/>
          <w:sz w:val="21"/>
          <w:szCs w:val="21"/>
        </w:rPr>
        <w:t>.</w:t>
      </w:r>
      <w:r w:rsidR="00B3584C">
        <w:rPr>
          <w:rFonts w:ascii="Arial" w:hAnsi="Arial" w:cs="Arial"/>
          <w:sz w:val="21"/>
          <w:szCs w:val="21"/>
        </w:rPr>
        <w:t xml:space="preserve"> </w:t>
      </w:r>
      <w:r w:rsidR="00DA4508">
        <w:rPr>
          <w:rFonts w:ascii="Arial" w:hAnsi="Arial" w:cs="Arial"/>
          <w:sz w:val="21"/>
          <w:szCs w:val="21"/>
        </w:rPr>
        <w:t>In 2022 alone (the second half of the reporting period), we ha</w:t>
      </w:r>
      <w:r w:rsidR="001D08EC">
        <w:rPr>
          <w:rFonts w:ascii="Arial" w:hAnsi="Arial" w:cs="Arial"/>
          <w:sz w:val="21"/>
          <w:szCs w:val="21"/>
        </w:rPr>
        <w:t>d</w:t>
      </w:r>
      <w:r w:rsidR="00DA4508">
        <w:rPr>
          <w:rFonts w:ascii="Arial" w:hAnsi="Arial" w:cs="Arial"/>
          <w:sz w:val="21"/>
          <w:szCs w:val="21"/>
        </w:rPr>
        <w:t xml:space="preserve"> at least </w:t>
      </w:r>
      <w:r w:rsidR="001545EB">
        <w:rPr>
          <w:rFonts w:ascii="Arial" w:hAnsi="Arial" w:cs="Arial"/>
          <w:sz w:val="21"/>
          <w:szCs w:val="21"/>
        </w:rPr>
        <w:t>34</w:t>
      </w:r>
      <w:r w:rsidR="00BB5D64">
        <w:rPr>
          <w:rFonts w:ascii="Arial" w:hAnsi="Arial" w:cs="Arial"/>
          <w:sz w:val="21"/>
          <w:szCs w:val="21"/>
        </w:rPr>
        <w:t xml:space="preserve"> new intakes </w:t>
      </w:r>
      <w:r w:rsidR="008B59B4">
        <w:rPr>
          <w:rFonts w:ascii="Arial" w:hAnsi="Arial" w:cs="Arial"/>
          <w:sz w:val="21"/>
          <w:szCs w:val="21"/>
        </w:rPr>
        <w:t>for unlawful detainer cases between the Office and Right to Counsel grants.</w:t>
      </w:r>
      <w:r w:rsidR="00B3584C">
        <w:rPr>
          <w:rFonts w:ascii="Arial" w:hAnsi="Arial" w:cs="Arial"/>
          <w:sz w:val="21"/>
          <w:szCs w:val="21"/>
        </w:rPr>
        <w:t xml:space="preserve"> </w:t>
      </w:r>
      <w:r w:rsidR="00AA2EDD">
        <w:rPr>
          <w:rFonts w:ascii="Arial" w:hAnsi="Arial" w:cs="Arial"/>
          <w:sz w:val="21"/>
          <w:szCs w:val="21"/>
        </w:rPr>
        <w:t xml:space="preserve">This is </w:t>
      </w:r>
      <w:r w:rsidR="004D6979">
        <w:rPr>
          <w:rFonts w:ascii="Arial" w:hAnsi="Arial" w:cs="Arial"/>
          <w:sz w:val="21"/>
          <w:szCs w:val="21"/>
        </w:rPr>
        <w:t xml:space="preserve">in </w:t>
      </w:r>
      <w:r w:rsidR="00AA2EDD">
        <w:rPr>
          <w:rFonts w:ascii="Arial" w:hAnsi="Arial" w:cs="Arial"/>
          <w:sz w:val="21"/>
          <w:szCs w:val="21"/>
        </w:rPr>
        <w:t xml:space="preserve">addition to </w:t>
      </w:r>
      <w:r w:rsidR="00A04248">
        <w:rPr>
          <w:rFonts w:ascii="Arial" w:hAnsi="Arial" w:cs="Arial"/>
          <w:sz w:val="21"/>
          <w:szCs w:val="21"/>
        </w:rPr>
        <w:t>case</w:t>
      </w:r>
      <w:r w:rsidR="00EA5826">
        <w:rPr>
          <w:rFonts w:ascii="Arial" w:hAnsi="Arial" w:cs="Arial"/>
          <w:sz w:val="21"/>
          <w:szCs w:val="21"/>
        </w:rPr>
        <w:t>s</w:t>
      </w:r>
      <w:r w:rsidR="00A04248">
        <w:rPr>
          <w:rFonts w:ascii="Arial" w:hAnsi="Arial" w:cs="Arial"/>
          <w:sz w:val="21"/>
          <w:szCs w:val="21"/>
        </w:rPr>
        <w:t xml:space="preserve"> already opened in 2021 and before.</w:t>
      </w:r>
      <w:r w:rsidR="00B3584C">
        <w:rPr>
          <w:rFonts w:ascii="Arial" w:hAnsi="Arial" w:cs="Arial"/>
          <w:sz w:val="21"/>
          <w:szCs w:val="21"/>
        </w:rPr>
        <w:t xml:space="preserve"> </w:t>
      </w:r>
      <w:r w:rsidR="00A04248">
        <w:rPr>
          <w:rFonts w:ascii="Arial" w:hAnsi="Arial" w:cs="Arial"/>
          <w:sz w:val="21"/>
          <w:szCs w:val="21"/>
        </w:rPr>
        <w:t xml:space="preserve">This </w:t>
      </w:r>
      <w:r w:rsidR="004D6979">
        <w:rPr>
          <w:rFonts w:ascii="Arial" w:hAnsi="Arial" w:cs="Arial"/>
          <w:sz w:val="21"/>
          <w:szCs w:val="21"/>
        </w:rPr>
        <w:t xml:space="preserve">data </w:t>
      </w:r>
      <w:r w:rsidR="00A04248">
        <w:rPr>
          <w:rFonts w:ascii="Arial" w:hAnsi="Arial" w:cs="Arial"/>
          <w:sz w:val="21"/>
          <w:szCs w:val="21"/>
        </w:rPr>
        <w:t>supports another trend we have observed</w:t>
      </w:r>
      <w:r w:rsidR="004E7BB5">
        <w:rPr>
          <w:rFonts w:ascii="Arial" w:hAnsi="Arial" w:cs="Arial"/>
          <w:sz w:val="21"/>
          <w:szCs w:val="21"/>
        </w:rPr>
        <w:t>:</w:t>
      </w:r>
      <w:r w:rsidR="00A04248">
        <w:rPr>
          <w:rFonts w:ascii="Arial" w:hAnsi="Arial" w:cs="Arial"/>
          <w:sz w:val="21"/>
          <w:szCs w:val="21"/>
        </w:rPr>
        <w:t xml:space="preserve"> a significant and rapid increase in unlawful detainer cases this year, especially since we opened our doors again full time in March.</w:t>
      </w:r>
      <w:r w:rsidR="00B3584C">
        <w:rPr>
          <w:rFonts w:ascii="Arial" w:hAnsi="Arial" w:cs="Arial"/>
          <w:sz w:val="21"/>
          <w:szCs w:val="21"/>
        </w:rPr>
        <w:t xml:space="preserve"> </w:t>
      </w:r>
      <w:r w:rsidR="002C4AA9">
        <w:rPr>
          <w:rFonts w:ascii="Arial" w:hAnsi="Arial" w:cs="Arial"/>
          <w:sz w:val="21"/>
          <w:szCs w:val="21"/>
        </w:rPr>
        <w:t>Unlawful detainer</w:t>
      </w:r>
      <w:r w:rsidR="00A04248">
        <w:rPr>
          <w:rFonts w:ascii="Arial" w:hAnsi="Arial" w:cs="Arial"/>
          <w:sz w:val="21"/>
          <w:szCs w:val="21"/>
        </w:rPr>
        <w:t xml:space="preserve"> cases take significantly more time to properly litigate than advice and limited cases, and they also stretch over longer periods depending on the court’s docket.</w:t>
      </w:r>
    </w:p>
    <w:p w14:paraId="08847A5E" w14:textId="5D571F38" w:rsidR="00BC3905" w:rsidRPr="00756472" w:rsidRDefault="00BC3905" w:rsidP="00BC3905">
      <w:pPr>
        <w:rPr>
          <w:rFonts w:ascii="Arial" w:hAnsi="Arial" w:cs="Arial"/>
          <w:sz w:val="21"/>
          <w:szCs w:val="21"/>
        </w:rPr>
      </w:pPr>
    </w:p>
    <w:p w14:paraId="72559496" w14:textId="1CC4AFB6" w:rsidR="00BC3905" w:rsidRPr="00756472" w:rsidRDefault="00816928" w:rsidP="00BC3905">
      <w:pPr>
        <w:rPr>
          <w:rFonts w:ascii="Arial" w:hAnsi="Arial" w:cs="Arial"/>
          <w:sz w:val="21"/>
          <w:szCs w:val="21"/>
        </w:rPr>
      </w:pPr>
      <w:r w:rsidRPr="006D2829">
        <w:rPr>
          <w:rFonts w:ascii="Arial" w:hAnsi="Arial" w:cs="Arial"/>
          <w:sz w:val="21"/>
          <w:szCs w:val="21"/>
        </w:rPr>
        <w:t xml:space="preserve">Finally, </w:t>
      </w:r>
      <w:r w:rsidRPr="006D2829">
        <w:rPr>
          <w:rFonts w:ascii="Arial" w:eastAsia="Times New Roman" w:hAnsi="Arial" w:cs="Arial"/>
          <w:sz w:val="21"/>
          <w:szCs w:val="21"/>
        </w:rPr>
        <w:t>d</w:t>
      </w:r>
      <w:r w:rsidRPr="00C5166D">
        <w:rPr>
          <w:rFonts w:ascii="Arial" w:eastAsia="Times New Roman" w:hAnsi="Arial" w:cs="Arial"/>
          <w:sz w:val="21"/>
          <w:szCs w:val="21"/>
        </w:rPr>
        <w:t xml:space="preserve">ue to the pandemic, </w:t>
      </w:r>
      <w:r w:rsidR="00B05CD3">
        <w:rPr>
          <w:rFonts w:ascii="Arial" w:eastAsia="Times New Roman" w:hAnsi="Arial" w:cs="Arial"/>
          <w:sz w:val="21"/>
          <w:szCs w:val="21"/>
        </w:rPr>
        <w:t xml:space="preserve">and as stated earlier, </w:t>
      </w:r>
      <w:r w:rsidRPr="00C5166D">
        <w:rPr>
          <w:rFonts w:ascii="Arial" w:eastAsia="Times New Roman" w:hAnsi="Arial" w:cs="Arial"/>
          <w:sz w:val="21"/>
          <w:szCs w:val="21"/>
        </w:rPr>
        <w:t>the Santa Monica office</w:t>
      </w:r>
      <w:r w:rsidR="001D5124">
        <w:rPr>
          <w:rFonts w:ascii="Arial" w:hAnsi="Arial" w:cs="Arial"/>
          <w:sz w:val="21"/>
          <w:szCs w:val="21"/>
        </w:rPr>
        <w:t xml:space="preserve"> was closed to walk-in clients for a portion of the reporting period.</w:t>
      </w:r>
      <w:r w:rsidR="00B3584C">
        <w:rPr>
          <w:rFonts w:ascii="Arial" w:hAnsi="Arial" w:cs="Arial"/>
          <w:sz w:val="21"/>
          <w:szCs w:val="21"/>
        </w:rPr>
        <w:t xml:space="preserve"> </w:t>
      </w:r>
      <w:r w:rsidR="001D5124">
        <w:rPr>
          <w:rFonts w:ascii="Arial" w:hAnsi="Arial"/>
          <w:sz w:val="21"/>
        </w:rPr>
        <w:t xml:space="preserve">We opened our doors on a limited basis in October 2021 twice weekly to walk-in and in person clients. Unfortunately, because of the surge in </w:t>
      </w:r>
      <w:r w:rsidR="000E0DC1">
        <w:rPr>
          <w:rFonts w:ascii="Arial" w:hAnsi="Arial"/>
          <w:sz w:val="21"/>
        </w:rPr>
        <w:t xml:space="preserve">COVID-19 </w:t>
      </w:r>
      <w:r w:rsidR="001D5124">
        <w:rPr>
          <w:rFonts w:ascii="Arial" w:hAnsi="Arial"/>
          <w:sz w:val="21"/>
        </w:rPr>
        <w:t xml:space="preserve">cases, we closed again </w:t>
      </w:r>
      <w:r w:rsidR="009E6A02">
        <w:rPr>
          <w:rFonts w:ascii="Arial" w:hAnsi="Arial"/>
          <w:sz w:val="21"/>
        </w:rPr>
        <w:t>for a portion of the winter.</w:t>
      </w:r>
      <w:r w:rsidR="00B3584C">
        <w:rPr>
          <w:rFonts w:ascii="Arial" w:hAnsi="Arial"/>
          <w:sz w:val="21"/>
        </w:rPr>
        <w:t xml:space="preserve"> </w:t>
      </w:r>
      <w:r w:rsidR="009E6A02">
        <w:rPr>
          <w:rFonts w:ascii="Arial" w:hAnsi="Arial"/>
          <w:sz w:val="21"/>
        </w:rPr>
        <w:t>However, i</w:t>
      </w:r>
      <w:r w:rsidR="001D5124">
        <w:rPr>
          <w:rFonts w:ascii="Arial" w:hAnsi="Arial"/>
          <w:sz w:val="21"/>
        </w:rPr>
        <w:t xml:space="preserve">n March 2022, we returned to full time office hours five days a week. </w:t>
      </w:r>
      <w:r w:rsidR="00BC3905" w:rsidRPr="00756472">
        <w:rPr>
          <w:rFonts w:ascii="Arial" w:hAnsi="Arial" w:cs="Arial"/>
          <w:sz w:val="21"/>
          <w:szCs w:val="21"/>
        </w:rPr>
        <w:t xml:space="preserve">While </w:t>
      </w:r>
      <w:r w:rsidR="006A09BD" w:rsidRPr="00756472">
        <w:rPr>
          <w:rFonts w:ascii="Arial" w:hAnsi="Arial" w:cs="Arial"/>
          <w:sz w:val="21"/>
          <w:szCs w:val="21"/>
        </w:rPr>
        <w:t>COVID-19 continues to pose a significant health risk to all residents</w:t>
      </w:r>
      <w:r w:rsidR="009E6A02">
        <w:rPr>
          <w:rFonts w:ascii="Arial" w:hAnsi="Arial" w:cs="Arial"/>
          <w:sz w:val="21"/>
          <w:szCs w:val="21"/>
        </w:rPr>
        <w:t>, LAFLA has safeguards in place for staff and clients alike, and we expect</w:t>
      </w:r>
      <w:r w:rsidR="003741E9">
        <w:rPr>
          <w:rFonts w:ascii="Arial" w:hAnsi="Arial" w:cs="Arial"/>
          <w:sz w:val="21"/>
          <w:szCs w:val="21"/>
        </w:rPr>
        <w:t xml:space="preserve"> our doors to remain open moving forward. This means increased access to </w:t>
      </w:r>
      <w:r w:rsidR="000E0DC1">
        <w:rPr>
          <w:rFonts w:ascii="Arial" w:hAnsi="Arial" w:cs="Arial"/>
          <w:sz w:val="21"/>
          <w:szCs w:val="21"/>
        </w:rPr>
        <w:t xml:space="preserve">low-income </w:t>
      </w:r>
      <w:r w:rsidR="003741E9">
        <w:rPr>
          <w:rFonts w:ascii="Arial" w:hAnsi="Arial" w:cs="Arial"/>
          <w:sz w:val="21"/>
          <w:szCs w:val="21"/>
        </w:rPr>
        <w:t>clients, and</w:t>
      </w:r>
      <w:r w:rsidR="002C4AA9">
        <w:rPr>
          <w:rFonts w:ascii="Arial" w:hAnsi="Arial" w:cs="Arial"/>
          <w:sz w:val="21"/>
          <w:szCs w:val="21"/>
        </w:rPr>
        <w:t>,</w:t>
      </w:r>
      <w:r w:rsidR="003741E9">
        <w:rPr>
          <w:rFonts w:ascii="Arial" w:hAnsi="Arial" w:cs="Arial"/>
          <w:sz w:val="21"/>
          <w:szCs w:val="21"/>
        </w:rPr>
        <w:t xml:space="preserve"> almost certainly, even more cases</w:t>
      </w:r>
      <w:r w:rsidR="000E0DC1">
        <w:rPr>
          <w:rFonts w:ascii="Arial" w:hAnsi="Arial" w:cs="Arial"/>
          <w:sz w:val="21"/>
          <w:szCs w:val="21"/>
        </w:rPr>
        <w:t xml:space="preserve"> on their behalf</w:t>
      </w:r>
      <w:r w:rsidR="003741E9">
        <w:rPr>
          <w:rFonts w:ascii="Arial" w:hAnsi="Arial" w:cs="Arial"/>
          <w:sz w:val="21"/>
          <w:szCs w:val="21"/>
        </w:rPr>
        <w:t>.</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61161EDF"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If this program has entered into a lease agreement with the City of Santa Monica, please provide a status report of facility improvements and routine maintenance performed during the reporting period.</w:t>
      </w:r>
      <w:r w:rsidR="00B3584C">
        <w:rPr>
          <w:rFonts w:ascii="Arial" w:hAnsi="Arial"/>
          <w:sz w:val="21"/>
        </w:rPr>
        <w:t xml:space="preserve"> </w:t>
      </w: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11D55E75" w:rsidR="00F97372" w:rsidRDefault="00A54424"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We have not entered into a lease with the City of Santa Monica.</w:t>
      </w: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C2A1" w14:textId="77777777" w:rsidR="00600DF2" w:rsidRDefault="00600DF2">
      <w:r>
        <w:separator/>
      </w:r>
    </w:p>
  </w:endnote>
  <w:endnote w:type="continuationSeparator" w:id="0">
    <w:p w14:paraId="03162DDF" w14:textId="77777777" w:rsidR="00600DF2" w:rsidRDefault="00600DF2">
      <w:r>
        <w:continuationSeparator/>
      </w:r>
    </w:p>
  </w:endnote>
  <w:endnote w:type="continuationNotice" w:id="1">
    <w:p w14:paraId="342D0E9C" w14:textId="77777777" w:rsidR="00600DF2" w:rsidRDefault="0060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124281"/>
      <w:docPartObj>
        <w:docPartGallery w:val="Page Numbers (Bottom of Page)"/>
        <w:docPartUnique/>
      </w:docPartObj>
    </w:sdtPr>
    <w:sdtEndPr>
      <w:rPr>
        <w:noProof/>
      </w:rPr>
    </w:sdtEndPr>
    <w:sdtContent>
      <w:p w14:paraId="316DFE1D" w14:textId="03EDC972" w:rsidR="00F5267C" w:rsidRDefault="00F52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1487B8F0" w:rsidR="008A3694" w:rsidRPr="00F5267C" w:rsidRDefault="008A3694" w:rsidP="00F52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D593" w14:textId="77777777" w:rsidR="00600DF2" w:rsidRDefault="00600DF2">
      <w:r>
        <w:separator/>
      </w:r>
    </w:p>
  </w:footnote>
  <w:footnote w:type="continuationSeparator" w:id="0">
    <w:p w14:paraId="2C5E9BD5" w14:textId="77777777" w:rsidR="00600DF2" w:rsidRDefault="00600DF2">
      <w:r>
        <w:continuationSeparator/>
      </w:r>
    </w:p>
  </w:footnote>
  <w:footnote w:type="continuationNotice" w:id="1">
    <w:p w14:paraId="6EFACBCE" w14:textId="77777777" w:rsidR="00600DF2" w:rsidRDefault="00600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2B615072"/>
    <w:multiLevelType w:val="hybridMultilevel"/>
    <w:tmpl w:val="B8C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386FF1"/>
    <w:multiLevelType w:val="hybridMultilevel"/>
    <w:tmpl w:val="90C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9"/>
  </w:num>
  <w:num w:numId="3">
    <w:abstractNumId w:val="10"/>
  </w:num>
  <w:num w:numId="4">
    <w:abstractNumId w:val="11"/>
  </w:num>
  <w:num w:numId="5">
    <w:abstractNumId w:val="4"/>
  </w:num>
  <w:num w:numId="6">
    <w:abstractNumId w:val="8"/>
  </w:num>
  <w:num w:numId="7">
    <w:abstractNumId w:val="5"/>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TqWJ5eF5iBQcu0q3/Mu5c+dcWFzF/f5wDTH3dAp+Lrt+RhQ1+K8uenZ9hJg/xd4/z2e/cjPCo57+t5701R8cw==" w:salt="0YX9u0aBuu5caP/QTBTGL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45B1"/>
    <w:rsid w:val="00010A02"/>
    <w:rsid w:val="00027B19"/>
    <w:rsid w:val="00032F19"/>
    <w:rsid w:val="000376DC"/>
    <w:rsid w:val="000427D8"/>
    <w:rsid w:val="00043D4C"/>
    <w:rsid w:val="00044A00"/>
    <w:rsid w:val="000467C4"/>
    <w:rsid w:val="000570B9"/>
    <w:rsid w:val="000578C2"/>
    <w:rsid w:val="00064821"/>
    <w:rsid w:val="000649AB"/>
    <w:rsid w:val="0006686C"/>
    <w:rsid w:val="00072FEE"/>
    <w:rsid w:val="00073932"/>
    <w:rsid w:val="00074739"/>
    <w:rsid w:val="00082333"/>
    <w:rsid w:val="00084501"/>
    <w:rsid w:val="00087138"/>
    <w:rsid w:val="00087894"/>
    <w:rsid w:val="00092171"/>
    <w:rsid w:val="00096E95"/>
    <w:rsid w:val="000A0D90"/>
    <w:rsid w:val="000A0DD0"/>
    <w:rsid w:val="000A4E04"/>
    <w:rsid w:val="000A60C5"/>
    <w:rsid w:val="000B40B7"/>
    <w:rsid w:val="000B649B"/>
    <w:rsid w:val="000C6002"/>
    <w:rsid w:val="000D00C6"/>
    <w:rsid w:val="000D0462"/>
    <w:rsid w:val="000D3412"/>
    <w:rsid w:val="000D49FF"/>
    <w:rsid w:val="000D6203"/>
    <w:rsid w:val="000E0DC1"/>
    <w:rsid w:val="000E202B"/>
    <w:rsid w:val="000F4C53"/>
    <w:rsid w:val="001003A7"/>
    <w:rsid w:val="00112FB5"/>
    <w:rsid w:val="001148F2"/>
    <w:rsid w:val="00116F52"/>
    <w:rsid w:val="0011786F"/>
    <w:rsid w:val="00123FE1"/>
    <w:rsid w:val="001272A9"/>
    <w:rsid w:val="00131F6C"/>
    <w:rsid w:val="001375C7"/>
    <w:rsid w:val="001403EB"/>
    <w:rsid w:val="0014318F"/>
    <w:rsid w:val="00145F6C"/>
    <w:rsid w:val="00147ACE"/>
    <w:rsid w:val="00150071"/>
    <w:rsid w:val="001533D5"/>
    <w:rsid w:val="001545EB"/>
    <w:rsid w:val="00154DE6"/>
    <w:rsid w:val="0015736F"/>
    <w:rsid w:val="001640CA"/>
    <w:rsid w:val="00166AA3"/>
    <w:rsid w:val="00166F1D"/>
    <w:rsid w:val="00167E9F"/>
    <w:rsid w:val="00173418"/>
    <w:rsid w:val="00175D32"/>
    <w:rsid w:val="001802F2"/>
    <w:rsid w:val="00184580"/>
    <w:rsid w:val="00192860"/>
    <w:rsid w:val="001938EE"/>
    <w:rsid w:val="00196ED6"/>
    <w:rsid w:val="001A09D3"/>
    <w:rsid w:val="001A2CEE"/>
    <w:rsid w:val="001A416F"/>
    <w:rsid w:val="001A585B"/>
    <w:rsid w:val="001B49A1"/>
    <w:rsid w:val="001C53E1"/>
    <w:rsid w:val="001D08EC"/>
    <w:rsid w:val="001D1490"/>
    <w:rsid w:val="001D5124"/>
    <w:rsid w:val="001D51B9"/>
    <w:rsid w:val="001D6D0C"/>
    <w:rsid w:val="001E197E"/>
    <w:rsid w:val="001E2D62"/>
    <w:rsid w:val="001F16E2"/>
    <w:rsid w:val="001F5ABD"/>
    <w:rsid w:val="001F7B08"/>
    <w:rsid w:val="00200511"/>
    <w:rsid w:val="00207187"/>
    <w:rsid w:val="00214DE8"/>
    <w:rsid w:val="00220DB9"/>
    <w:rsid w:val="0022193E"/>
    <w:rsid w:val="002226DB"/>
    <w:rsid w:val="00223BCA"/>
    <w:rsid w:val="00225375"/>
    <w:rsid w:val="002257DA"/>
    <w:rsid w:val="0023005B"/>
    <w:rsid w:val="00232788"/>
    <w:rsid w:val="002374BD"/>
    <w:rsid w:val="00237EFA"/>
    <w:rsid w:val="00240F54"/>
    <w:rsid w:val="00246D0D"/>
    <w:rsid w:val="00253059"/>
    <w:rsid w:val="00267262"/>
    <w:rsid w:val="00272E08"/>
    <w:rsid w:val="00273CEB"/>
    <w:rsid w:val="00274947"/>
    <w:rsid w:val="00277140"/>
    <w:rsid w:val="00277249"/>
    <w:rsid w:val="00280C85"/>
    <w:rsid w:val="00281F80"/>
    <w:rsid w:val="002827C8"/>
    <w:rsid w:val="0028378D"/>
    <w:rsid w:val="00287623"/>
    <w:rsid w:val="002924A7"/>
    <w:rsid w:val="002952BC"/>
    <w:rsid w:val="002A2A24"/>
    <w:rsid w:val="002A5344"/>
    <w:rsid w:val="002A6257"/>
    <w:rsid w:val="002A7B01"/>
    <w:rsid w:val="002B382B"/>
    <w:rsid w:val="002B697F"/>
    <w:rsid w:val="002C2AF7"/>
    <w:rsid w:val="002C3390"/>
    <w:rsid w:val="002C4AA9"/>
    <w:rsid w:val="002C6236"/>
    <w:rsid w:val="002C75B6"/>
    <w:rsid w:val="002D19DE"/>
    <w:rsid w:val="002D1CAF"/>
    <w:rsid w:val="002D1DBB"/>
    <w:rsid w:val="002D253A"/>
    <w:rsid w:val="002D29CC"/>
    <w:rsid w:val="002D29D5"/>
    <w:rsid w:val="002D541A"/>
    <w:rsid w:val="002D679C"/>
    <w:rsid w:val="002E0836"/>
    <w:rsid w:val="002E4EC4"/>
    <w:rsid w:val="002F0180"/>
    <w:rsid w:val="002F40A6"/>
    <w:rsid w:val="002F58C9"/>
    <w:rsid w:val="00301CD9"/>
    <w:rsid w:val="00303F4A"/>
    <w:rsid w:val="003300DA"/>
    <w:rsid w:val="0033463C"/>
    <w:rsid w:val="0034028C"/>
    <w:rsid w:val="00343095"/>
    <w:rsid w:val="00344F0A"/>
    <w:rsid w:val="00345380"/>
    <w:rsid w:val="003503D4"/>
    <w:rsid w:val="00356A1C"/>
    <w:rsid w:val="00360132"/>
    <w:rsid w:val="003741E9"/>
    <w:rsid w:val="0038119B"/>
    <w:rsid w:val="00384FFC"/>
    <w:rsid w:val="0038584A"/>
    <w:rsid w:val="00385BB6"/>
    <w:rsid w:val="00387FBA"/>
    <w:rsid w:val="003926AF"/>
    <w:rsid w:val="003A16C4"/>
    <w:rsid w:val="003A4638"/>
    <w:rsid w:val="003B6A0D"/>
    <w:rsid w:val="003C18F2"/>
    <w:rsid w:val="003C1B18"/>
    <w:rsid w:val="003C21BA"/>
    <w:rsid w:val="003C3283"/>
    <w:rsid w:val="003C590F"/>
    <w:rsid w:val="003D368B"/>
    <w:rsid w:val="003D5ED9"/>
    <w:rsid w:val="003D7D90"/>
    <w:rsid w:val="003E234F"/>
    <w:rsid w:val="003E49A6"/>
    <w:rsid w:val="004005B1"/>
    <w:rsid w:val="004008FB"/>
    <w:rsid w:val="00404BB0"/>
    <w:rsid w:val="0040660A"/>
    <w:rsid w:val="00407667"/>
    <w:rsid w:val="004112F0"/>
    <w:rsid w:val="004136A4"/>
    <w:rsid w:val="00413E09"/>
    <w:rsid w:val="00416AD6"/>
    <w:rsid w:val="00430A7E"/>
    <w:rsid w:val="00430DF4"/>
    <w:rsid w:val="004536FC"/>
    <w:rsid w:val="0045793A"/>
    <w:rsid w:val="00461759"/>
    <w:rsid w:val="00461D4F"/>
    <w:rsid w:val="00467E2B"/>
    <w:rsid w:val="0047093D"/>
    <w:rsid w:val="00471B9B"/>
    <w:rsid w:val="00475316"/>
    <w:rsid w:val="0047716F"/>
    <w:rsid w:val="00480C95"/>
    <w:rsid w:val="004812B8"/>
    <w:rsid w:val="004815F9"/>
    <w:rsid w:val="00486460"/>
    <w:rsid w:val="00490AFB"/>
    <w:rsid w:val="00495B97"/>
    <w:rsid w:val="004974FD"/>
    <w:rsid w:val="004A520F"/>
    <w:rsid w:val="004B0B88"/>
    <w:rsid w:val="004B2A13"/>
    <w:rsid w:val="004B3461"/>
    <w:rsid w:val="004B5247"/>
    <w:rsid w:val="004C0103"/>
    <w:rsid w:val="004C160C"/>
    <w:rsid w:val="004C4E89"/>
    <w:rsid w:val="004C7792"/>
    <w:rsid w:val="004D33AB"/>
    <w:rsid w:val="004D545D"/>
    <w:rsid w:val="004D6979"/>
    <w:rsid w:val="004E1382"/>
    <w:rsid w:val="004E22E2"/>
    <w:rsid w:val="004E7BB5"/>
    <w:rsid w:val="004F08F9"/>
    <w:rsid w:val="004F3EAF"/>
    <w:rsid w:val="004F6026"/>
    <w:rsid w:val="005032D1"/>
    <w:rsid w:val="00503BD7"/>
    <w:rsid w:val="00505D2D"/>
    <w:rsid w:val="00506169"/>
    <w:rsid w:val="005073AF"/>
    <w:rsid w:val="0051201C"/>
    <w:rsid w:val="00516817"/>
    <w:rsid w:val="00517DE9"/>
    <w:rsid w:val="00520D32"/>
    <w:rsid w:val="00523BF3"/>
    <w:rsid w:val="00525131"/>
    <w:rsid w:val="005252CD"/>
    <w:rsid w:val="00527547"/>
    <w:rsid w:val="00542C9E"/>
    <w:rsid w:val="00544154"/>
    <w:rsid w:val="005555E0"/>
    <w:rsid w:val="00561EC8"/>
    <w:rsid w:val="00562240"/>
    <w:rsid w:val="005625C3"/>
    <w:rsid w:val="005713E2"/>
    <w:rsid w:val="00573256"/>
    <w:rsid w:val="00573C23"/>
    <w:rsid w:val="005757D5"/>
    <w:rsid w:val="005800B0"/>
    <w:rsid w:val="005828DE"/>
    <w:rsid w:val="00583D89"/>
    <w:rsid w:val="00586C75"/>
    <w:rsid w:val="005A5B00"/>
    <w:rsid w:val="005A7B83"/>
    <w:rsid w:val="005B3BB4"/>
    <w:rsid w:val="005B4BBC"/>
    <w:rsid w:val="005B51F1"/>
    <w:rsid w:val="005B54F5"/>
    <w:rsid w:val="005B6277"/>
    <w:rsid w:val="005C303F"/>
    <w:rsid w:val="005C384E"/>
    <w:rsid w:val="005C398E"/>
    <w:rsid w:val="005C3BEA"/>
    <w:rsid w:val="005C3E09"/>
    <w:rsid w:val="005C429A"/>
    <w:rsid w:val="005C5C91"/>
    <w:rsid w:val="005C6484"/>
    <w:rsid w:val="005D236A"/>
    <w:rsid w:val="005D4B9E"/>
    <w:rsid w:val="005E3642"/>
    <w:rsid w:val="005E68CF"/>
    <w:rsid w:val="005E6A13"/>
    <w:rsid w:val="005E7196"/>
    <w:rsid w:val="005F0249"/>
    <w:rsid w:val="005F4D91"/>
    <w:rsid w:val="005F537A"/>
    <w:rsid w:val="005F5EFA"/>
    <w:rsid w:val="00600DF2"/>
    <w:rsid w:val="00601825"/>
    <w:rsid w:val="00601D92"/>
    <w:rsid w:val="00602155"/>
    <w:rsid w:val="006040D2"/>
    <w:rsid w:val="006113D2"/>
    <w:rsid w:val="006119C8"/>
    <w:rsid w:val="006215D2"/>
    <w:rsid w:val="006221AE"/>
    <w:rsid w:val="006237ED"/>
    <w:rsid w:val="0062632F"/>
    <w:rsid w:val="00626640"/>
    <w:rsid w:val="0063393A"/>
    <w:rsid w:val="00642544"/>
    <w:rsid w:val="00642CCC"/>
    <w:rsid w:val="0064472E"/>
    <w:rsid w:val="006563DF"/>
    <w:rsid w:val="00662E7C"/>
    <w:rsid w:val="006640A0"/>
    <w:rsid w:val="00664D04"/>
    <w:rsid w:val="00665614"/>
    <w:rsid w:val="00667DBC"/>
    <w:rsid w:val="00674D14"/>
    <w:rsid w:val="00677CA2"/>
    <w:rsid w:val="00680C65"/>
    <w:rsid w:val="00682652"/>
    <w:rsid w:val="00682886"/>
    <w:rsid w:val="00683C34"/>
    <w:rsid w:val="006900B3"/>
    <w:rsid w:val="006904A6"/>
    <w:rsid w:val="00690E40"/>
    <w:rsid w:val="00691214"/>
    <w:rsid w:val="006914D6"/>
    <w:rsid w:val="00693C7D"/>
    <w:rsid w:val="00694D7F"/>
    <w:rsid w:val="00695545"/>
    <w:rsid w:val="00695773"/>
    <w:rsid w:val="00696AFE"/>
    <w:rsid w:val="006A09BD"/>
    <w:rsid w:val="006A2121"/>
    <w:rsid w:val="006A30B4"/>
    <w:rsid w:val="006A4CFF"/>
    <w:rsid w:val="006A7E9B"/>
    <w:rsid w:val="006B33CC"/>
    <w:rsid w:val="006B37DE"/>
    <w:rsid w:val="006B5100"/>
    <w:rsid w:val="006B77D5"/>
    <w:rsid w:val="006B7F30"/>
    <w:rsid w:val="006C151B"/>
    <w:rsid w:val="006C75F8"/>
    <w:rsid w:val="006D1426"/>
    <w:rsid w:val="006D2806"/>
    <w:rsid w:val="006D2A72"/>
    <w:rsid w:val="006D5B9E"/>
    <w:rsid w:val="006E2A56"/>
    <w:rsid w:val="006E65C8"/>
    <w:rsid w:val="006E6CB8"/>
    <w:rsid w:val="006E7836"/>
    <w:rsid w:val="006F3506"/>
    <w:rsid w:val="006F5D27"/>
    <w:rsid w:val="00702468"/>
    <w:rsid w:val="007041BD"/>
    <w:rsid w:val="00706F5B"/>
    <w:rsid w:val="00716911"/>
    <w:rsid w:val="00717B3C"/>
    <w:rsid w:val="007243F3"/>
    <w:rsid w:val="00724953"/>
    <w:rsid w:val="007256EB"/>
    <w:rsid w:val="007262B5"/>
    <w:rsid w:val="00730113"/>
    <w:rsid w:val="00733486"/>
    <w:rsid w:val="00741BC9"/>
    <w:rsid w:val="0074253F"/>
    <w:rsid w:val="00745191"/>
    <w:rsid w:val="007453E9"/>
    <w:rsid w:val="00745CBD"/>
    <w:rsid w:val="00747B08"/>
    <w:rsid w:val="00751543"/>
    <w:rsid w:val="00751762"/>
    <w:rsid w:val="00756472"/>
    <w:rsid w:val="00764538"/>
    <w:rsid w:val="00765667"/>
    <w:rsid w:val="007664D6"/>
    <w:rsid w:val="00771C80"/>
    <w:rsid w:val="00773228"/>
    <w:rsid w:val="00787298"/>
    <w:rsid w:val="007947AD"/>
    <w:rsid w:val="00795CCC"/>
    <w:rsid w:val="00797370"/>
    <w:rsid w:val="00797FE8"/>
    <w:rsid w:val="007A09F2"/>
    <w:rsid w:val="007B0EAD"/>
    <w:rsid w:val="007B4E78"/>
    <w:rsid w:val="007C0726"/>
    <w:rsid w:val="007D3B4E"/>
    <w:rsid w:val="007D401B"/>
    <w:rsid w:val="007D6B87"/>
    <w:rsid w:val="007E0F6C"/>
    <w:rsid w:val="007E2F35"/>
    <w:rsid w:val="007E31FF"/>
    <w:rsid w:val="007E73C3"/>
    <w:rsid w:val="007E73F4"/>
    <w:rsid w:val="007F4363"/>
    <w:rsid w:val="007F7596"/>
    <w:rsid w:val="00800215"/>
    <w:rsid w:val="008013DA"/>
    <w:rsid w:val="008024D6"/>
    <w:rsid w:val="008042A0"/>
    <w:rsid w:val="00804515"/>
    <w:rsid w:val="008101B6"/>
    <w:rsid w:val="00813A82"/>
    <w:rsid w:val="00816928"/>
    <w:rsid w:val="008222EA"/>
    <w:rsid w:val="00827EF8"/>
    <w:rsid w:val="008334E9"/>
    <w:rsid w:val="00837E7E"/>
    <w:rsid w:val="0084269F"/>
    <w:rsid w:val="00842F67"/>
    <w:rsid w:val="00843D48"/>
    <w:rsid w:val="008448C5"/>
    <w:rsid w:val="00845339"/>
    <w:rsid w:val="008500D0"/>
    <w:rsid w:val="00855A60"/>
    <w:rsid w:val="00855B5F"/>
    <w:rsid w:val="0086217B"/>
    <w:rsid w:val="008656CE"/>
    <w:rsid w:val="008672F7"/>
    <w:rsid w:val="00872119"/>
    <w:rsid w:val="00874BF4"/>
    <w:rsid w:val="0088465B"/>
    <w:rsid w:val="0088611F"/>
    <w:rsid w:val="008864F2"/>
    <w:rsid w:val="00886E5A"/>
    <w:rsid w:val="0089353F"/>
    <w:rsid w:val="00897BCB"/>
    <w:rsid w:val="008A01EE"/>
    <w:rsid w:val="008A3694"/>
    <w:rsid w:val="008B09E1"/>
    <w:rsid w:val="008B1337"/>
    <w:rsid w:val="008B59B4"/>
    <w:rsid w:val="008B71F0"/>
    <w:rsid w:val="008C30F0"/>
    <w:rsid w:val="008C3230"/>
    <w:rsid w:val="008C5EDC"/>
    <w:rsid w:val="008D129D"/>
    <w:rsid w:val="008D7287"/>
    <w:rsid w:val="008D7BAA"/>
    <w:rsid w:val="008E3960"/>
    <w:rsid w:val="008E4487"/>
    <w:rsid w:val="008E54B0"/>
    <w:rsid w:val="008F02C7"/>
    <w:rsid w:val="008F1565"/>
    <w:rsid w:val="008F16E3"/>
    <w:rsid w:val="008F213C"/>
    <w:rsid w:val="008F64B5"/>
    <w:rsid w:val="008F67FE"/>
    <w:rsid w:val="008F69E2"/>
    <w:rsid w:val="0090115A"/>
    <w:rsid w:val="00904E54"/>
    <w:rsid w:val="00905DD9"/>
    <w:rsid w:val="009079C0"/>
    <w:rsid w:val="00910CED"/>
    <w:rsid w:val="0091377E"/>
    <w:rsid w:val="00913CC6"/>
    <w:rsid w:val="00916740"/>
    <w:rsid w:val="00925583"/>
    <w:rsid w:val="00925586"/>
    <w:rsid w:val="00927EE9"/>
    <w:rsid w:val="00934DC0"/>
    <w:rsid w:val="009365B3"/>
    <w:rsid w:val="0094026D"/>
    <w:rsid w:val="0095241B"/>
    <w:rsid w:val="0096252B"/>
    <w:rsid w:val="0096458E"/>
    <w:rsid w:val="00965C3B"/>
    <w:rsid w:val="009661B0"/>
    <w:rsid w:val="00971A32"/>
    <w:rsid w:val="00973888"/>
    <w:rsid w:val="009776CF"/>
    <w:rsid w:val="00977FF0"/>
    <w:rsid w:val="00984220"/>
    <w:rsid w:val="00986304"/>
    <w:rsid w:val="009945B6"/>
    <w:rsid w:val="00995E4F"/>
    <w:rsid w:val="00997E8A"/>
    <w:rsid w:val="009A01AA"/>
    <w:rsid w:val="009A1E32"/>
    <w:rsid w:val="009A5858"/>
    <w:rsid w:val="009A74D7"/>
    <w:rsid w:val="009B3877"/>
    <w:rsid w:val="009C5560"/>
    <w:rsid w:val="009C7DE6"/>
    <w:rsid w:val="009D12A4"/>
    <w:rsid w:val="009D3DDC"/>
    <w:rsid w:val="009D44AF"/>
    <w:rsid w:val="009D4C58"/>
    <w:rsid w:val="009D7F05"/>
    <w:rsid w:val="009E1434"/>
    <w:rsid w:val="009E25A3"/>
    <w:rsid w:val="009E4005"/>
    <w:rsid w:val="009E4E1C"/>
    <w:rsid w:val="009E6A02"/>
    <w:rsid w:val="009F012C"/>
    <w:rsid w:val="00A02D1F"/>
    <w:rsid w:val="00A04248"/>
    <w:rsid w:val="00A06050"/>
    <w:rsid w:val="00A15FDD"/>
    <w:rsid w:val="00A25194"/>
    <w:rsid w:val="00A260A4"/>
    <w:rsid w:val="00A30D21"/>
    <w:rsid w:val="00A3154A"/>
    <w:rsid w:val="00A3334F"/>
    <w:rsid w:val="00A36EB0"/>
    <w:rsid w:val="00A37066"/>
    <w:rsid w:val="00A370AB"/>
    <w:rsid w:val="00A45098"/>
    <w:rsid w:val="00A453A9"/>
    <w:rsid w:val="00A46292"/>
    <w:rsid w:val="00A47B45"/>
    <w:rsid w:val="00A51DDF"/>
    <w:rsid w:val="00A54424"/>
    <w:rsid w:val="00A56F56"/>
    <w:rsid w:val="00A572B1"/>
    <w:rsid w:val="00A57A41"/>
    <w:rsid w:val="00A64F91"/>
    <w:rsid w:val="00A65FD8"/>
    <w:rsid w:val="00A679D9"/>
    <w:rsid w:val="00A72B93"/>
    <w:rsid w:val="00A75424"/>
    <w:rsid w:val="00A81150"/>
    <w:rsid w:val="00A82F9E"/>
    <w:rsid w:val="00A844BB"/>
    <w:rsid w:val="00A86304"/>
    <w:rsid w:val="00A921B8"/>
    <w:rsid w:val="00A9585A"/>
    <w:rsid w:val="00AA2EDD"/>
    <w:rsid w:val="00AA7F18"/>
    <w:rsid w:val="00AB1E64"/>
    <w:rsid w:val="00AB39F0"/>
    <w:rsid w:val="00AB73D4"/>
    <w:rsid w:val="00AB7776"/>
    <w:rsid w:val="00AC15AF"/>
    <w:rsid w:val="00AC1F84"/>
    <w:rsid w:val="00AC24E9"/>
    <w:rsid w:val="00AC5951"/>
    <w:rsid w:val="00AC64D4"/>
    <w:rsid w:val="00AD79D4"/>
    <w:rsid w:val="00AE084F"/>
    <w:rsid w:val="00AE79FA"/>
    <w:rsid w:val="00AF0EA2"/>
    <w:rsid w:val="00AF7B9C"/>
    <w:rsid w:val="00B028CA"/>
    <w:rsid w:val="00B052FF"/>
    <w:rsid w:val="00B05CD3"/>
    <w:rsid w:val="00B10B84"/>
    <w:rsid w:val="00B23FF2"/>
    <w:rsid w:val="00B3208B"/>
    <w:rsid w:val="00B3584C"/>
    <w:rsid w:val="00B405F5"/>
    <w:rsid w:val="00B40EA6"/>
    <w:rsid w:val="00B46717"/>
    <w:rsid w:val="00B50CE0"/>
    <w:rsid w:val="00B53256"/>
    <w:rsid w:val="00B544AA"/>
    <w:rsid w:val="00B623C6"/>
    <w:rsid w:val="00B626FB"/>
    <w:rsid w:val="00B62EC4"/>
    <w:rsid w:val="00B63CFC"/>
    <w:rsid w:val="00B64078"/>
    <w:rsid w:val="00B66994"/>
    <w:rsid w:val="00B70564"/>
    <w:rsid w:val="00B754AF"/>
    <w:rsid w:val="00B826E1"/>
    <w:rsid w:val="00B829C8"/>
    <w:rsid w:val="00B82E73"/>
    <w:rsid w:val="00B91B5E"/>
    <w:rsid w:val="00BA092F"/>
    <w:rsid w:val="00BA4CB6"/>
    <w:rsid w:val="00BB3E85"/>
    <w:rsid w:val="00BB4E27"/>
    <w:rsid w:val="00BB5D64"/>
    <w:rsid w:val="00BC1017"/>
    <w:rsid w:val="00BC2B08"/>
    <w:rsid w:val="00BC3905"/>
    <w:rsid w:val="00BC3E6D"/>
    <w:rsid w:val="00BC5CA7"/>
    <w:rsid w:val="00BD00CA"/>
    <w:rsid w:val="00BD1067"/>
    <w:rsid w:val="00BD39C0"/>
    <w:rsid w:val="00BD4ED2"/>
    <w:rsid w:val="00BE0BAE"/>
    <w:rsid w:val="00BF070F"/>
    <w:rsid w:val="00BF0AAB"/>
    <w:rsid w:val="00BF7E36"/>
    <w:rsid w:val="00C07774"/>
    <w:rsid w:val="00C07B29"/>
    <w:rsid w:val="00C15A48"/>
    <w:rsid w:val="00C17D94"/>
    <w:rsid w:val="00C201E7"/>
    <w:rsid w:val="00C25571"/>
    <w:rsid w:val="00C26263"/>
    <w:rsid w:val="00C3176B"/>
    <w:rsid w:val="00C40370"/>
    <w:rsid w:val="00C53543"/>
    <w:rsid w:val="00C555F2"/>
    <w:rsid w:val="00C5657B"/>
    <w:rsid w:val="00C61448"/>
    <w:rsid w:val="00C6470A"/>
    <w:rsid w:val="00C65D55"/>
    <w:rsid w:val="00C70238"/>
    <w:rsid w:val="00C7112E"/>
    <w:rsid w:val="00C71290"/>
    <w:rsid w:val="00C7250D"/>
    <w:rsid w:val="00C73051"/>
    <w:rsid w:val="00C74BB2"/>
    <w:rsid w:val="00C779F7"/>
    <w:rsid w:val="00C8173D"/>
    <w:rsid w:val="00C83C2C"/>
    <w:rsid w:val="00C8409E"/>
    <w:rsid w:val="00C858C4"/>
    <w:rsid w:val="00CA20ED"/>
    <w:rsid w:val="00CA3408"/>
    <w:rsid w:val="00CB038B"/>
    <w:rsid w:val="00CB3DAF"/>
    <w:rsid w:val="00CB7D88"/>
    <w:rsid w:val="00CD29B4"/>
    <w:rsid w:val="00CD4BCD"/>
    <w:rsid w:val="00CE1427"/>
    <w:rsid w:val="00CE3236"/>
    <w:rsid w:val="00CE5FE8"/>
    <w:rsid w:val="00CF75FE"/>
    <w:rsid w:val="00CF7785"/>
    <w:rsid w:val="00D008FE"/>
    <w:rsid w:val="00D01246"/>
    <w:rsid w:val="00D04009"/>
    <w:rsid w:val="00D04539"/>
    <w:rsid w:val="00D04CA1"/>
    <w:rsid w:val="00D11CCE"/>
    <w:rsid w:val="00D1207D"/>
    <w:rsid w:val="00D15AC6"/>
    <w:rsid w:val="00D22B52"/>
    <w:rsid w:val="00D25031"/>
    <w:rsid w:val="00D25DB7"/>
    <w:rsid w:val="00D27C92"/>
    <w:rsid w:val="00D34B6B"/>
    <w:rsid w:val="00D4152E"/>
    <w:rsid w:val="00D41D04"/>
    <w:rsid w:val="00D43B05"/>
    <w:rsid w:val="00D45014"/>
    <w:rsid w:val="00D50D8F"/>
    <w:rsid w:val="00D5143F"/>
    <w:rsid w:val="00D53942"/>
    <w:rsid w:val="00D5426A"/>
    <w:rsid w:val="00D601AE"/>
    <w:rsid w:val="00D61413"/>
    <w:rsid w:val="00D65E16"/>
    <w:rsid w:val="00D70008"/>
    <w:rsid w:val="00D70B02"/>
    <w:rsid w:val="00D72E25"/>
    <w:rsid w:val="00D72EE9"/>
    <w:rsid w:val="00D74A52"/>
    <w:rsid w:val="00D757F5"/>
    <w:rsid w:val="00D856BF"/>
    <w:rsid w:val="00D86941"/>
    <w:rsid w:val="00D9076C"/>
    <w:rsid w:val="00D922FF"/>
    <w:rsid w:val="00D92D25"/>
    <w:rsid w:val="00D9693C"/>
    <w:rsid w:val="00DA1340"/>
    <w:rsid w:val="00DA334B"/>
    <w:rsid w:val="00DA33BE"/>
    <w:rsid w:val="00DA4508"/>
    <w:rsid w:val="00DA7553"/>
    <w:rsid w:val="00DA76B3"/>
    <w:rsid w:val="00DB1279"/>
    <w:rsid w:val="00DB4A09"/>
    <w:rsid w:val="00DB7337"/>
    <w:rsid w:val="00DB7CBD"/>
    <w:rsid w:val="00DC50FE"/>
    <w:rsid w:val="00DC6F2A"/>
    <w:rsid w:val="00DC78D5"/>
    <w:rsid w:val="00DC7F05"/>
    <w:rsid w:val="00DD204D"/>
    <w:rsid w:val="00DE230B"/>
    <w:rsid w:val="00DE3ECD"/>
    <w:rsid w:val="00DF0295"/>
    <w:rsid w:val="00DF193E"/>
    <w:rsid w:val="00DF3B2C"/>
    <w:rsid w:val="00E10B51"/>
    <w:rsid w:val="00E16B3F"/>
    <w:rsid w:val="00E26D0F"/>
    <w:rsid w:val="00E332A6"/>
    <w:rsid w:val="00E35998"/>
    <w:rsid w:val="00E365BD"/>
    <w:rsid w:val="00E40A58"/>
    <w:rsid w:val="00E45D7D"/>
    <w:rsid w:val="00E54A03"/>
    <w:rsid w:val="00E62BB3"/>
    <w:rsid w:val="00E649AF"/>
    <w:rsid w:val="00E804C4"/>
    <w:rsid w:val="00E8298B"/>
    <w:rsid w:val="00E85348"/>
    <w:rsid w:val="00EA19F1"/>
    <w:rsid w:val="00EA301E"/>
    <w:rsid w:val="00EA416A"/>
    <w:rsid w:val="00EA4A27"/>
    <w:rsid w:val="00EA5826"/>
    <w:rsid w:val="00EA6F4E"/>
    <w:rsid w:val="00EB0322"/>
    <w:rsid w:val="00EB434E"/>
    <w:rsid w:val="00EB4439"/>
    <w:rsid w:val="00EB7756"/>
    <w:rsid w:val="00ED2343"/>
    <w:rsid w:val="00EE11B9"/>
    <w:rsid w:val="00EE4BA8"/>
    <w:rsid w:val="00EE6B7C"/>
    <w:rsid w:val="00EF1847"/>
    <w:rsid w:val="00EF5200"/>
    <w:rsid w:val="00EF677C"/>
    <w:rsid w:val="00F04E6C"/>
    <w:rsid w:val="00F05DC0"/>
    <w:rsid w:val="00F06431"/>
    <w:rsid w:val="00F10DDB"/>
    <w:rsid w:val="00F117A0"/>
    <w:rsid w:val="00F22C7D"/>
    <w:rsid w:val="00F23638"/>
    <w:rsid w:val="00F33372"/>
    <w:rsid w:val="00F34B59"/>
    <w:rsid w:val="00F36446"/>
    <w:rsid w:val="00F430E0"/>
    <w:rsid w:val="00F437FC"/>
    <w:rsid w:val="00F45014"/>
    <w:rsid w:val="00F46A6A"/>
    <w:rsid w:val="00F51FBC"/>
    <w:rsid w:val="00F5267C"/>
    <w:rsid w:val="00F53BA1"/>
    <w:rsid w:val="00F553A1"/>
    <w:rsid w:val="00F5624D"/>
    <w:rsid w:val="00F5755B"/>
    <w:rsid w:val="00F617B5"/>
    <w:rsid w:val="00F63043"/>
    <w:rsid w:val="00F65407"/>
    <w:rsid w:val="00F671F9"/>
    <w:rsid w:val="00F67C4C"/>
    <w:rsid w:val="00F70521"/>
    <w:rsid w:val="00F75E8B"/>
    <w:rsid w:val="00F80E3A"/>
    <w:rsid w:val="00F830B1"/>
    <w:rsid w:val="00F851D6"/>
    <w:rsid w:val="00F91277"/>
    <w:rsid w:val="00F954CB"/>
    <w:rsid w:val="00F96C76"/>
    <w:rsid w:val="00F97372"/>
    <w:rsid w:val="00F97AAC"/>
    <w:rsid w:val="00FA1EF4"/>
    <w:rsid w:val="00FA3B38"/>
    <w:rsid w:val="00FA77C5"/>
    <w:rsid w:val="00FB338F"/>
    <w:rsid w:val="00FB4403"/>
    <w:rsid w:val="00FB50E7"/>
    <w:rsid w:val="00FB6058"/>
    <w:rsid w:val="00FB774B"/>
    <w:rsid w:val="00FC1ED0"/>
    <w:rsid w:val="00FC43B8"/>
    <w:rsid w:val="00FC63AC"/>
    <w:rsid w:val="00FC6CA1"/>
    <w:rsid w:val="00FC6CBD"/>
    <w:rsid w:val="00FD11B9"/>
    <w:rsid w:val="00FD274C"/>
    <w:rsid w:val="00FD406B"/>
    <w:rsid w:val="00FD680A"/>
    <w:rsid w:val="00FD7085"/>
    <w:rsid w:val="00FD7F51"/>
    <w:rsid w:val="00FE01FA"/>
    <w:rsid w:val="00FE1F60"/>
    <w:rsid w:val="00FE6A3F"/>
    <w:rsid w:val="00FE70C1"/>
    <w:rsid w:val="00FF2BF5"/>
    <w:rsid w:val="19CC37A2"/>
    <w:rsid w:val="5C75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9191"/>
  <w15:chartTrackingRefBased/>
  <w15:docId w15:val="{0576355B-B68B-44D7-A501-7B66CA22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82E73"/>
    <w:pPr>
      <w:ind w:left="720"/>
      <w:contextualSpacing/>
    </w:pPr>
  </w:style>
  <w:style w:type="paragraph" w:styleId="Revision">
    <w:name w:val="Revision"/>
    <w:hidden/>
    <w:uiPriority w:val="99"/>
    <w:semiHidden/>
    <w:rsid w:val="00032F19"/>
    <w:rPr>
      <w:rFonts w:ascii="Arial Unicode MS" w:eastAsia="Arial Unicode MS"/>
      <w:szCs w:val="24"/>
    </w:rPr>
  </w:style>
  <w:style w:type="character" w:customStyle="1" w:styleId="FooterChar">
    <w:name w:val="Footer Char"/>
    <w:basedOn w:val="DefaultParagraphFont"/>
    <w:link w:val="Footer"/>
    <w:uiPriority w:val="99"/>
    <w:rsid w:val="00F5267C"/>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96546D52-89B7-49AA-9863-8E5D4EEC8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4734</Words>
  <Characters>26986</Characters>
  <Application>Microsoft Office Word</Application>
  <DocSecurity>8</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11</cp:revision>
  <cp:lastPrinted>2015-09-17T16:45:00Z</cp:lastPrinted>
  <dcterms:created xsi:type="dcterms:W3CDTF">2022-08-01T21:58:00Z</dcterms:created>
  <dcterms:modified xsi:type="dcterms:W3CDTF">2023-02-17T23:50:00Z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