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A7645" id="Straight Connector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C6yQEAAHcDAAAOAAAAZHJzL2Uyb0RvYy54bWysU02P0zAQvSPxHyzfadrSrS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088D097"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77729D">
        <w:rPr>
          <w:rFonts w:ascii="Arial" w:hAnsi="Arial"/>
          <w:sz w:val="28"/>
        </w:rPr>
        <w:t>2</w:t>
      </w:r>
      <w:r w:rsidR="001F5ABD">
        <w:rPr>
          <w:rFonts w:ascii="Arial" w:hAnsi="Arial"/>
          <w:sz w:val="28"/>
        </w:rPr>
        <w:t>-2</w:t>
      </w:r>
      <w:r w:rsidR="0077729D">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EA865"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04281190" w:rsidR="00F97372" w:rsidRDefault="006D03A9"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w:t>
      </w:r>
      <w:r w:rsidR="00F97372">
        <w:rPr>
          <w:rFonts w:ascii="Arial" w:hAnsi="Arial"/>
          <w:sz w:val="22"/>
          <w:szCs w:val="22"/>
        </w:rPr>
        <w:t>_</w:t>
      </w:r>
      <w:r>
        <w:rPr>
          <w:rFonts w:ascii="Arial" w:hAnsi="Arial"/>
          <w:sz w:val="22"/>
          <w:szCs w:val="22"/>
        </w:rPr>
        <w:t>CLARE|MATRIX</w:t>
      </w:r>
      <w:r w:rsidR="00F97372">
        <w:rPr>
          <w:rFonts w:ascii="Arial" w:hAnsi="Arial"/>
          <w:sz w:val="22"/>
          <w:szCs w:val="22"/>
        </w:rPr>
        <w:t>____________________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75135A69"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r>
      <w:r w:rsidR="006D03A9">
        <w:rPr>
          <w:rFonts w:ascii="Arial" w:hAnsi="Arial"/>
          <w:sz w:val="22"/>
          <w:szCs w:val="22"/>
        </w:rPr>
        <w:t>__________________Clarity for Youth</w:t>
      </w:r>
      <w:r>
        <w:rPr>
          <w:rFonts w:ascii="Arial" w:hAnsi="Arial"/>
          <w:sz w:val="22"/>
          <w:szCs w:val="22"/>
        </w:rPr>
        <w:t>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6815502" w14:textId="7D326A69" w:rsidR="001375C7" w:rsidRPr="000F252F" w:rsidRDefault="000F252F" w:rsidP="001375C7">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1375C7" w:rsidRPr="00C74BB2" w14:paraId="1614C99F"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1216F72A" w14:textId="7603667A"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0F252F">
        <w:trPr>
          <w:trHeight w:val="62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3687978D" w14:textId="29B2D551" w:rsidR="001375C7" w:rsidRPr="00C74BB2" w:rsidRDefault="006D03A9"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17A4C348"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77729D">
        <w:rPr>
          <w:sz w:val="24"/>
          <w:u w:val="none"/>
        </w:rPr>
        <w:t>2</w:t>
      </w:r>
      <w:r w:rsidR="004812B8">
        <w:rPr>
          <w:sz w:val="24"/>
          <w:u w:val="none"/>
        </w:rPr>
        <w:t>-2</w:t>
      </w:r>
      <w:r w:rsidR="0077729D">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7D3B4E" w:rsidRPr="001375C7">
        <w:rPr>
          <w:sz w:val="24"/>
          <w:u w:val="none"/>
        </w:rPr>
        <w:t xml:space="preserve"> </w:t>
      </w:r>
    </w:p>
    <w:p w14:paraId="26E460D9" w14:textId="5E7E99DF" w:rsidR="006F4097" w:rsidRDefault="000F252F" w:rsidP="006F4097">
      <w:r w:rsidRPr="000F252F">
        <w:rPr>
          <w:noProof/>
        </w:rPr>
        <w:drawing>
          <wp:inline distT="0" distB="0" distL="0" distR="0" wp14:anchorId="7CC82CE7" wp14:editId="10A67FB9">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774A063F" w14:textId="6DDE83D0" w:rsidR="006F4097" w:rsidRDefault="006F4097" w:rsidP="006F4097"/>
    <w:p w14:paraId="227226ED" w14:textId="77777777" w:rsidR="006F4097" w:rsidRPr="006F4097" w:rsidRDefault="006F4097" w:rsidP="006F4097"/>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60E4FB47" w14:textId="4530CBF8" w:rsidR="00C6470A" w:rsidRDefault="00C6470A" w:rsidP="00C6470A">
      <w:pPr>
        <w:rPr>
          <w:rFonts w:ascii="Arial" w:hAnsi="Arial"/>
          <w:sz w:val="21"/>
        </w:rPr>
      </w:pPr>
    </w:p>
    <w:p w14:paraId="7C0DCBB2" w14:textId="77777777" w:rsidR="00667EA8" w:rsidRPr="00C6470A" w:rsidRDefault="00667EA8"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D77E395" w14:textId="77777777"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5B62C2CA" w14:textId="77777777" w:rsidR="00925583" w:rsidRDefault="00925583" w:rsidP="00925583">
      <w:pPr>
        <w:jc w:val="both"/>
        <w:rPr>
          <w:rFonts w:ascii="Arial" w:hAnsi="Arial"/>
          <w:sz w:val="21"/>
        </w:rPr>
      </w:pPr>
    </w:p>
    <w:p w14:paraId="7979E2FE" w14:textId="77777777" w:rsidR="00311E1F" w:rsidRPr="00BD105C" w:rsidRDefault="00311E1F" w:rsidP="00311E1F">
      <w:pPr>
        <w:pStyle w:val="BodyText2"/>
        <w:rPr>
          <w:b/>
          <w:i w:val="0"/>
        </w:rPr>
      </w:pPr>
      <w:r w:rsidRPr="00287754">
        <w:rPr>
          <w:b/>
          <w:i w:val="0"/>
        </w:rPr>
        <w:t>Accomplishments</w:t>
      </w:r>
    </w:p>
    <w:p w14:paraId="7120B630" w14:textId="1DAABB39" w:rsidR="00C14611" w:rsidRDefault="00311E1F" w:rsidP="00311E1F">
      <w:pPr>
        <w:pStyle w:val="BodyText2"/>
        <w:rPr>
          <w:i w:val="0"/>
        </w:rPr>
      </w:pPr>
      <w:r>
        <w:rPr>
          <w:i w:val="0"/>
        </w:rPr>
        <w:t>Upon program completion, the CLARE|MATRIX (C|M) Clarity for Youth Prevention program successfully provided individual and family counseling to mandated youth</w:t>
      </w:r>
      <w:r w:rsidR="00C14611">
        <w:rPr>
          <w:i w:val="0"/>
        </w:rPr>
        <w:t xml:space="preserve"> from SMMUSD</w:t>
      </w:r>
      <w:r>
        <w:rPr>
          <w:i w:val="0"/>
        </w:rPr>
        <w:t xml:space="preserve">.  </w:t>
      </w:r>
      <w:r w:rsidR="00E325CD">
        <w:rPr>
          <w:i w:val="0"/>
        </w:rPr>
        <w:t>One hundred sixty-six</w:t>
      </w:r>
      <w:r>
        <w:rPr>
          <w:i w:val="0"/>
        </w:rPr>
        <w:t xml:space="preserve"> </w:t>
      </w:r>
      <w:r w:rsidR="00E325CD">
        <w:rPr>
          <w:i w:val="0"/>
        </w:rPr>
        <w:t xml:space="preserve">(166) </w:t>
      </w:r>
      <w:r>
        <w:rPr>
          <w:i w:val="0"/>
        </w:rPr>
        <w:t>individual and/</w:t>
      </w:r>
      <w:r w:rsidR="009B758F">
        <w:rPr>
          <w:i w:val="0"/>
        </w:rPr>
        <w:t>or family sessions among 39</w:t>
      </w:r>
      <w:r>
        <w:rPr>
          <w:i w:val="0"/>
        </w:rPr>
        <w:t xml:space="preserve"> students have been completed during the reporting period, with youth from Santa Monica High School</w:t>
      </w:r>
      <w:r w:rsidR="00E325CD">
        <w:rPr>
          <w:i w:val="0"/>
        </w:rPr>
        <w:t>, Olympic High School, OCLC,</w:t>
      </w:r>
      <w:r>
        <w:rPr>
          <w:i w:val="0"/>
        </w:rPr>
        <w:t xml:space="preserve"> Lincoln Middle School</w:t>
      </w:r>
      <w:r w:rsidR="00E325CD">
        <w:rPr>
          <w:i w:val="0"/>
        </w:rPr>
        <w:t xml:space="preserve"> and John Adams Middles School</w:t>
      </w:r>
      <w:r>
        <w:rPr>
          <w:i w:val="0"/>
        </w:rPr>
        <w:t>.  Youth have been referred to counseling either through their advisor and/or principle, the SMMUSD mental health coordinator, or through involvement with the SMPD Diversion Program, the Youth Resource Team (YRT), or the Santa Monica Alternative School House (SMASH).  All youth referred to CLARE|MATRIX (C|M) have been identified as having used substances or having brought drug and/or alcohol paraphernalia on</w:t>
      </w:r>
      <w:r w:rsidR="00C14611">
        <w:rPr>
          <w:i w:val="0"/>
        </w:rPr>
        <w:t>to campus or to a school event.</w:t>
      </w:r>
    </w:p>
    <w:p w14:paraId="37A0B63B" w14:textId="77777777" w:rsidR="00C14611" w:rsidRDefault="00C14611" w:rsidP="00311E1F">
      <w:pPr>
        <w:pStyle w:val="BodyText2"/>
        <w:rPr>
          <w:i w:val="0"/>
        </w:rPr>
      </w:pPr>
    </w:p>
    <w:p w14:paraId="540634F7" w14:textId="48DDDD57" w:rsidR="00311E1F" w:rsidRDefault="00C14611" w:rsidP="00311E1F">
      <w:pPr>
        <w:pStyle w:val="BodyText2"/>
        <w:rPr>
          <w:i w:val="0"/>
        </w:rPr>
      </w:pPr>
      <w:r>
        <w:rPr>
          <w:i w:val="0"/>
        </w:rPr>
        <w:t>In effort to maintain an ethical caseload and meet the requests of parents wanting the option to fulfill the school mandate through alternative therapeutic means and agencies, t</w:t>
      </w:r>
      <w:r w:rsidR="00E325CD">
        <w:rPr>
          <w:i w:val="0"/>
        </w:rPr>
        <w:t>en (10)</w:t>
      </w:r>
      <w:r w:rsidR="009B758F">
        <w:rPr>
          <w:i w:val="0"/>
        </w:rPr>
        <w:t xml:space="preserve"> of the thirty-nine (39</w:t>
      </w:r>
      <w:r w:rsidR="00F64AC9">
        <w:rPr>
          <w:i w:val="0"/>
        </w:rPr>
        <w:t>) students have been</w:t>
      </w:r>
      <w:r w:rsidR="00E325CD">
        <w:rPr>
          <w:i w:val="0"/>
        </w:rPr>
        <w:t xml:space="preserve"> referred for assessment only and provided </w:t>
      </w:r>
      <w:r w:rsidR="000C593A">
        <w:rPr>
          <w:i w:val="0"/>
        </w:rPr>
        <w:t xml:space="preserve">recommended course of treatment and </w:t>
      </w:r>
      <w:r w:rsidR="00E325CD">
        <w:rPr>
          <w:i w:val="0"/>
        </w:rPr>
        <w:t>referrals to meet the mandate for the substance use policy violation.</w:t>
      </w:r>
    </w:p>
    <w:p w14:paraId="0D2AC9F7" w14:textId="77777777" w:rsidR="00311E1F" w:rsidRDefault="00311E1F" w:rsidP="00311E1F">
      <w:pPr>
        <w:jc w:val="both"/>
        <w:rPr>
          <w:rFonts w:ascii="Arial" w:hAnsi="Arial"/>
          <w:sz w:val="21"/>
        </w:rPr>
      </w:pPr>
    </w:p>
    <w:p w14:paraId="3D92C13A" w14:textId="253D60AA" w:rsidR="00311E1F" w:rsidRDefault="00010219" w:rsidP="00311E1F">
      <w:pPr>
        <w:jc w:val="both"/>
        <w:rPr>
          <w:rFonts w:ascii="Arial" w:hAnsi="Arial"/>
          <w:sz w:val="21"/>
        </w:rPr>
      </w:pPr>
      <w:r>
        <w:rPr>
          <w:rFonts w:ascii="Arial" w:hAnsi="Arial"/>
          <w:sz w:val="21"/>
        </w:rPr>
        <w:t>Due to staffing limitation and having one (1) prevention specialist for the p</w:t>
      </w:r>
      <w:r w:rsidR="00F64AC9">
        <w:rPr>
          <w:rFonts w:ascii="Arial" w:hAnsi="Arial"/>
          <w:sz w:val="21"/>
        </w:rPr>
        <w:t>rogram, only mandated youth have been</w:t>
      </w:r>
      <w:r w:rsidR="00311E1F">
        <w:rPr>
          <w:rFonts w:ascii="Arial" w:hAnsi="Arial"/>
          <w:sz w:val="21"/>
        </w:rPr>
        <w:t xml:space="preserve"> referred and provided individual and/or family sessions.  However, youth who</w:t>
      </w:r>
      <w:r w:rsidR="003F73C2">
        <w:rPr>
          <w:rFonts w:ascii="Arial" w:hAnsi="Arial"/>
          <w:sz w:val="21"/>
        </w:rPr>
        <w:t xml:space="preserve"> were</w:t>
      </w:r>
      <w:r w:rsidR="00311E1F">
        <w:rPr>
          <w:rFonts w:ascii="Arial" w:hAnsi="Arial"/>
          <w:sz w:val="21"/>
        </w:rPr>
        <w:t xml:space="preserve"> interested in receiving services or were identified as vulnerable to future disciplinary action were welcomed to attend group services.</w:t>
      </w:r>
    </w:p>
    <w:p w14:paraId="420BA643" w14:textId="77777777" w:rsidR="00311E1F" w:rsidRDefault="00311E1F" w:rsidP="00311E1F">
      <w:pPr>
        <w:jc w:val="both"/>
        <w:rPr>
          <w:rFonts w:ascii="Arial" w:hAnsi="Arial"/>
          <w:sz w:val="21"/>
        </w:rPr>
      </w:pPr>
    </w:p>
    <w:p w14:paraId="53F62A29" w14:textId="34026A78" w:rsidR="00311E1F" w:rsidRDefault="00311E1F" w:rsidP="00311E1F">
      <w:pPr>
        <w:jc w:val="both"/>
        <w:rPr>
          <w:rFonts w:ascii="Arial" w:hAnsi="Arial"/>
          <w:sz w:val="21"/>
        </w:rPr>
      </w:pPr>
      <w:r>
        <w:rPr>
          <w:rFonts w:ascii="Arial" w:hAnsi="Arial"/>
          <w:sz w:val="21"/>
        </w:rPr>
        <w:t>In addition to individual</w:t>
      </w:r>
      <w:r w:rsidR="006B7946">
        <w:rPr>
          <w:rFonts w:ascii="Arial" w:hAnsi="Arial"/>
          <w:sz w:val="21"/>
        </w:rPr>
        <w:t xml:space="preserve"> and family counseling, C|M </w:t>
      </w:r>
      <w:r w:rsidR="00F64AC9">
        <w:rPr>
          <w:rFonts w:ascii="Arial" w:hAnsi="Arial"/>
          <w:sz w:val="21"/>
        </w:rPr>
        <w:t xml:space="preserve">has </w:t>
      </w:r>
      <w:r>
        <w:rPr>
          <w:rFonts w:ascii="Arial" w:hAnsi="Arial"/>
          <w:sz w:val="21"/>
        </w:rPr>
        <w:t xml:space="preserve">also served youth, their families and the community through groups, </w:t>
      </w:r>
      <w:proofErr w:type="gramStart"/>
      <w:r>
        <w:rPr>
          <w:rFonts w:ascii="Arial" w:hAnsi="Arial"/>
          <w:sz w:val="21"/>
        </w:rPr>
        <w:t>presentations</w:t>
      </w:r>
      <w:proofErr w:type="gramEnd"/>
      <w:r>
        <w:rPr>
          <w:rFonts w:ascii="Arial" w:hAnsi="Arial"/>
          <w:sz w:val="21"/>
        </w:rPr>
        <w:t xml:space="preserve"> and assemblies.  At Santa Monica</w:t>
      </w:r>
      <w:r w:rsidR="006B7946">
        <w:rPr>
          <w:rFonts w:ascii="Arial" w:hAnsi="Arial"/>
          <w:sz w:val="21"/>
        </w:rPr>
        <w:t xml:space="preserve"> High School, the C</w:t>
      </w:r>
      <w:r w:rsidR="000D791F">
        <w:rPr>
          <w:rFonts w:ascii="Arial" w:hAnsi="Arial"/>
          <w:sz w:val="21"/>
        </w:rPr>
        <w:t>LARE</w:t>
      </w:r>
      <w:r w:rsidR="006B7946">
        <w:rPr>
          <w:rFonts w:ascii="Arial" w:hAnsi="Arial"/>
          <w:sz w:val="21"/>
        </w:rPr>
        <w:t>|M</w:t>
      </w:r>
      <w:r w:rsidR="000D791F">
        <w:rPr>
          <w:rFonts w:ascii="Arial" w:hAnsi="Arial"/>
          <w:sz w:val="21"/>
        </w:rPr>
        <w:t>ATRIX</w:t>
      </w:r>
      <w:r w:rsidR="006B7946">
        <w:rPr>
          <w:rFonts w:ascii="Arial" w:hAnsi="Arial"/>
          <w:sz w:val="21"/>
        </w:rPr>
        <w:t xml:space="preserve"> P</w:t>
      </w:r>
      <w:r w:rsidR="00672AB8">
        <w:rPr>
          <w:rFonts w:ascii="Arial" w:hAnsi="Arial"/>
          <w:sz w:val="21"/>
        </w:rPr>
        <w:t>revention Specialist has</w:t>
      </w:r>
      <w:r w:rsidR="006B7946">
        <w:rPr>
          <w:rFonts w:ascii="Arial" w:hAnsi="Arial"/>
          <w:sz w:val="21"/>
        </w:rPr>
        <w:t xml:space="preserve"> host</w:t>
      </w:r>
      <w:r w:rsidR="00B8678F">
        <w:rPr>
          <w:rFonts w:ascii="Arial" w:hAnsi="Arial"/>
          <w:sz w:val="21"/>
        </w:rPr>
        <w:t>ed</w:t>
      </w:r>
      <w:r w:rsidR="003F73C2">
        <w:rPr>
          <w:rFonts w:ascii="Arial" w:hAnsi="Arial"/>
          <w:sz w:val="21"/>
        </w:rPr>
        <w:t xml:space="preserve"> 26</w:t>
      </w:r>
      <w:r>
        <w:rPr>
          <w:rFonts w:ascii="Arial" w:hAnsi="Arial"/>
          <w:sz w:val="21"/>
        </w:rPr>
        <w:t xml:space="preserve"> Life Skills Training prevention curriculum groups for a total of </w:t>
      </w:r>
      <w:r w:rsidR="00672AB8">
        <w:rPr>
          <w:rFonts w:ascii="Arial" w:hAnsi="Arial"/>
          <w:sz w:val="21"/>
        </w:rPr>
        <w:t>15</w:t>
      </w:r>
      <w:r w:rsidR="006B7946">
        <w:rPr>
          <w:rFonts w:ascii="Arial" w:hAnsi="Arial"/>
          <w:sz w:val="21"/>
        </w:rPr>
        <w:t xml:space="preserve"> students</w:t>
      </w:r>
      <w:r w:rsidR="00672AB8">
        <w:rPr>
          <w:rFonts w:ascii="Arial" w:hAnsi="Arial"/>
          <w:sz w:val="21"/>
        </w:rPr>
        <w:t>, 12 who were mandated</w:t>
      </w:r>
      <w:r>
        <w:rPr>
          <w:rFonts w:ascii="Arial" w:hAnsi="Arial"/>
          <w:sz w:val="21"/>
        </w:rPr>
        <w:t>.  Three</w:t>
      </w:r>
      <w:r w:rsidR="006B7946">
        <w:rPr>
          <w:rFonts w:ascii="Arial" w:hAnsi="Arial"/>
          <w:sz w:val="21"/>
        </w:rPr>
        <w:t xml:space="preserve"> (3)</w:t>
      </w:r>
      <w:r>
        <w:rPr>
          <w:rFonts w:ascii="Arial" w:hAnsi="Arial"/>
          <w:sz w:val="21"/>
        </w:rPr>
        <w:t xml:space="preserve"> Recovery Panel Groups were held at Olympic High School, welcoming 18 voluntary youth to listen to the life experiences and call for change from community members who overcame substance use disorder.  </w:t>
      </w:r>
      <w:r w:rsidR="003F73C2">
        <w:rPr>
          <w:rFonts w:ascii="Arial" w:hAnsi="Arial"/>
          <w:sz w:val="21"/>
        </w:rPr>
        <w:t>A</w:t>
      </w:r>
      <w:r>
        <w:rPr>
          <w:rFonts w:ascii="Arial" w:hAnsi="Arial"/>
          <w:sz w:val="21"/>
        </w:rPr>
        <w:t>pproximately 120 parents/adult community members attended the in-person and virtual Parent Teacher Student Association presentation on opioid and fentanyl awareness.</w:t>
      </w:r>
      <w:r w:rsidR="003F73C2">
        <w:rPr>
          <w:rFonts w:ascii="Arial" w:hAnsi="Arial"/>
          <w:sz w:val="21"/>
        </w:rPr>
        <w:t xml:space="preserve"> Lastly, a Drug Prevention and Fentanyl Awareness p</w:t>
      </w:r>
      <w:r w:rsidR="00672AB8">
        <w:rPr>
          <w:rFonts w:ascii="Arial" w:hAnsi="Arial"/>
          <w:sz w:val="21"/>
        </w:rPr>
        <w:t>resentation was given assembly-st</w:t>
      </w:r>
      <w:r w:rsidR="003F73C2">
        <w:rPr>
          <w:rFonts w:ascii="Arial" w:hAnsi="Arial"/>
          <w:sz w:val="21"/>
        </w:rPr>
        <w:t>yle at John A</w:t>
      </w:r>
      <w:r w:rsidR="00672AB8">
        <w:rPr>
          <w:rFonts w:ascii="Arial" w:hAnsi="Arial"/>
          <w:sz w:val="21"/>
        </w:rPr>
        <w:t>dams Middle school for all 6</w:t>
      </w:r>
      <w:r w:rsidR="00672AB8" w:rsidRPr="00672AB8">
        <w:rPr>
          <w:rFonts w:ascii="Arial" w:hAnsi="Arial"/>
          <w:sz w:val="21"/>
          <w:vertAlign w:val="superscript"/>
        </w:rPr>
        <w:t>th</w:t>
      </w:r>
      <w:r w:rsidR="00672AB8">
        <w:rPr>
          <w:rFonts w:ascii="Arial" w:hAnsi="Arial"/>
          <w:sz w:val="21"/>
        </w:rPr>
        <w:t>, 7</w:t>
      </w:r>
      <w:r w:rsidR="00672AB8" w:rsidRPr="00672AB8">
        <w:rPr>
          <w:rFonts w:ascii="Arial" w:hAnsi="Arial"/>
          <w:sz w:val="21"/>
          <w:vertAlign w:val="superscript"/>
        </w:rPr>
        <w:t>th</w:t>
      </w:r>
      <w:r w:rsidR="00672AB8">
        <w:rPr>
          <w:rFonts w:ascii="Arial" w:hAnsi="Arial"/>
          <w:sz w:val="21"/>
        </w:rPr>
        <w:t xml:space="preserve"> and 8</w:t>
      </w:r>
      <w:r w:rsidR="00672AB8" w:rsidRPr="00672AB8">
        <w:rPr>
          <w:rFonts w:ascii="Arial" w:hAnsi="Arial"/>
          <w:sz w:val="21"/>
          <w:vertAlign w:val="superscript"/>
        </w:rPr>
        <w:t>th</w:t>
      </w:r>
      <w:r w:rsidR="00672AB8">
        <w:rPr>
          <w:rFonts w:ascii="Arial" w:hAnsi="Arial"/>
          <w:sz w:val="21"/>
        </w:rPr>
        <w:t xml:space="preserve"> grade</w:t>
      </w:r>
      <w:r w:rsidR="003F73C2">
        <w:rPr>
          <w:rFonts w:ascii="Arial" w:hAnsi="Arial"/>
          <w:sz w:val="21"/>
        </w:rPr>
        <w:t>, reaching 736 students.</w:t>
      </w:r>
    </w:p>
    <w:p w14:paraId="25BC4E39" w14:textId="77777777" w:rsidR="00311E1F" w:rsidRDefault="00311E1F" w:rsidP="00311E1F">
      <w:pPr>
        <w:jc w:val="both"/>
        <w:rPr>
          <w:rFonts w:ascii="Arial" w:hAnsi="Arial"/>
          <w:sz w:val="21"/>
        </w:rPr>
      </w:pPr>
    </w:p>
    <w:p w14:paraId="4411A6B1" w14:textId="77777777" w:rsidR="00311E1F" w:rsidRDefault="00311E1F" w:rsidP="00311E1F">
      <w:pPr>
        <w:jc w:val="both"/>
        <w:rPr>
          <w:rFonts w:ascii="Arial" w:hAnsi="Arial"/>
          <w:b/>
          <w:sz w:val="21"/>
        </w:rPr>
      </w:pPr>
      <w:r w:rsidRPr="00287754">
        <w:rPr>
          <w:rFonts w:ascii="Arial" w:hAnsi="Arial"/>
          <w:b/>
          <w:sz w:val="21"/>
        </w:rPr>
        <w:t>Challenges</w:t>
      </w:r>
    </w:p>
    <w:p w14:paraId="7434A0CD" w14:textId="4121BE1C" w:rsidR="00311E1F" w:rsidRPr="00CC25AB" w:rsidRDefault="00311E1F" w:rsidP="2FA166CA">
      <w:pPr>
        <w:jc w:val="both"/>
        <w:rPr>
          <w:rFonts w:ascii="Arial" w:hAnsi="Arial"/>
          <w:sz w:val="21"/>
          <w:szCs w:val="21"/>
        </w:rPr>
      </w:pPr>
      <w:r w:rsidRPr="5582491C">
        <w:rPr>
          <w:rFonts w:ascii="Arial" w:hAnsi="Arial"/>
          <w:sz w:val="21"/>
          <w:szCs w:val="21"/>
        </w:rPr>
        <w:t>Challenges during this reporting period included implementing groups at the middle schools related to youths’ impressionability potential and number of mandated participants.  Other challenges included keeping some students committed to their mandate, which caused delays in availability for new mandated referrals.  In effort to improve participation in mandated counseling, school administration was notified when applicable and reasonable completion dates were proposed. Despite delays, all mandated referrals have been assessed and provided services.</w:t>
      </w:r>
      <w:r w:rsidR="009F7655" w:rsidRPr="5582491C">
        <w:rPr>
          <w:rFonts w:ascii="Arial" w:hAnsi="Arial"/>
          <w:sz w:val="21"/>
          <w:szCs w:val="21"/>
        </w:rPr>
        <w:t xml:space="preserve"> </w:t>
      </w:r>
      <w:r w:rsidR="00647C65" w:rsidRPr="5582491C">
        <w:rPr>
          <w:rFonts w:ascii="Arial" w:hAnsi="Arial"/>
          <w:sz w:val="21"/>
          <w:szCs w:val="21"/>
        </w:rPr>
        <w:t xml:space="preserve">The Prevention team </w:t>
      </w:r>
      <w:r w:rsidR="00C96653" w:rsidRPr="5582491C">
        <w:rPr>
          <w:rFonts w:ascii="Arial" w:hAnsi="Arial"/>
          <w:sz w:val="21"/>
          <w:szCs w:val="21"/>
        </w:rPr>
        <w:t>made attempts to conduct similar assembly-</w:t>
      </w:r>
      <w:r w:rsidR="00647C65" w:rsidRPr="5582491C">
        <w:rPr>
          <w:rFonts w:ascii="Arial" w:hAnsi="Arial"/>
          <w:sz w:val="21"/>
          <w:szCs w:val="21"/>
        </w:rPr>
        <w:t xml:space="preserve">style drug awareness presentations at Lincoln Middle School, however it was challenging to identify and or communicate with the appropriate person who could facilitate the scheduling.  </w:t>
      </w:r>
      <w:r w:rsidR="009F7655" w:rsidRPr="5582491C">
        <w:rPr>
          <w:rFonts w:ascii="Arial" w:hAnsi="Arial"/>
          <w:sz w:val="21"/>
          <w:szCs w:val="21"/>
        </w:rPr>
        <w:t>Finally, while the Recovery Panel was the most consistently attended group, volunteers were not easily accessible as the previous</w:t>
      </w:r>
      <w:r w:rsidR="763AE14C" w:rsidRPr="5582491C">
        <w:rPr>
          <w:rFonts w:ascii="Arial" w:hAnsi="Arial"/>
          <w:sz w:val="21"/>
          <w:szCs w:val="21"/>
        </w:rPr>
        <w:t xml:space="preserve"> year. </w:t>
      </w:r>
      <w:r w:rsidR="14BA1DA9" w:rsidRPr="5582491C">
        <w:rPr>
          <w:rFonts w:ascii="Arial" w:hAnsi="Arial"/>
          <w:sz w:val="21"/>
          <w:szCs w:val="21"/>
        </w:rPr>
        <w:t xml:space="preserve">Only three groups were held for the year due to volunteers being unavailable to share their </w:t>
      </w:r>
      <w:r w:rsidR="519E69FC" w:rsidRPr="5582491C">
        <w:rPr>
          <w:rFonts w:ascii="Arial" w:hAnsi="Arial"/>
          <w:sz w:val="21"/>
          <w:szCs w:val="21"/>
        </w:rPr>
        <w:t>experience</w:t>
      </w:r>
      <w:r w:rsidR="14BA1DA9" w:rsidRPr="5582491C">
        <w:rPr>
          <w:rFonts w:ascii="Arial" w:hAnsi="Arial"/>
          <w:sz w:val="21"/>
          <w:szCs w:val="21"/>
        </w:rPr>
        <w:t xml:space="preserve"> with substance use and recovery. </w:t>
      </w:r>
    </w:p>
    <w:p w14:paraId="2209C3C6" w14:textId="77777777" w:rsidR="00311E1F" w:rsidRDefault="00311E1F" w:rsidP="00311E1F">
      <w:pPr>
        <w:jc w:val="both"/>
        <w:rPr>
          <w:rFonts w:ascii="Arial" w:hAnsi="Arial"/>
          <w:sz w:val="21"/>
        </w:rPr>
      </w:pPr>
    </w:p>
    <w:p w14:paraId="6BA83A99" w14:textId="018D6B5F" w:rsidR="00311E1F" w:rsidRDefault="00311E1F" w:rsidP="00311E1F">
      <w:pPr>
        <w:jc w:val="both"/>
        <w:rPr>
          <w:rFonts w:ascii="Arial" w:hAnsi="Arial"/>
          <w:b/>
          <w:sz w:val="21"/>
        </w:rPr>
      </w:pPr>
      <w:r w:rsidRPr="00287754">
        <w:rPr>
          <w:rFonts w:ascii="Arial" w:hAnsi="Arial"/>
          <w:b/>
          <w:sz w:val="21"/>
        </w:rPr>
        <w:t>Changes</w:t>
      </w:r>
      <w:r w:rsidR="00E34FB4">
        <w:rPr>
          <w:rFonts w:ascii="Arial" w:hAnsi="Arial"/>
          <w:b/>
          <w:sz w:val="21"/>
        </w:rPr>
        <w:t xml:space="preserve"> </w:t>
      </w:r>
    </w:p>
    <w:p w14:paraId="5FEEB09F" w14:textId="4080B8A5" w:rsidR="00CB39AD" w:rsidRDefault="00CB39AD" w:rsidP="00CB39AD">
      <w:pPr>
        <w:pStyle w:val="BodyText2"/>
        <w:rPr>
          <w:i w:val="0"/>
        </w:rPr>
      </w:pPr>
      <w:r>
        <w:t xml:space="preserve">An </w:t>
      </w:r>
      <w:r w:rsidR="00311E1F">
        <w:t xml:space="preserve">assessment-only </w:t>
      </w:r>
      <w:r>
        <w:t>option for mandated referrals was implemented</w:t>
      </w:r>
      <w:r w:rsidR="00311E1F">
        <w:t xml:space="preserve"> due to some parents wanting students to complete the mandate with existing and/or outside mental health providers. </w:t>
      </w:r>
      <w:r>
        <w:t xml:space="preserve"> An assessment wa</w:t>
      </w:r>
      <w:r w:rsidR="00311E1F">
        <w:t xml:space="preserve">s completed, </w:t>
      </w:r>
      <w:r>
        <w:t>a treatment plan wa</w:t>
      </w:r>
      <w:r w:rsidR="00311E1F">
        <w:t>s created based on the needs</w:t>
      </w:r>
      <w:r>
        <w:t xml:space="preserve"> of the student, and the recommendation was</w:t>
      </w:r>
      <w:r w:rsidR="00311E1F">
        <w:t xml:space="preserve"> provided to the family and school administrators.  Implementing this change also permitted the Prevention Team to keep the caseload manageable.</w:t>
      </w:r>
      <w:r w:rsidR="009B758F">
        <w:rPr>
          <w:i w:val="0"/>
        </w:rPr>
        <w:t xml:space="preserve"> Ten (10) of the thirty-nine (39</w:t>
      </w:r>
      <w:r>
        <w:rPr>
          <w:i w:val="0"/>
        </w:rPr>
        <w:t>) students were referred for assessment only and provided referrals to meet the mandate for the substance use policy violation.</w:t>
      </w:r>
    </w:p>
    <w:p w14:paraId="2FDCFE36" w14:textId="392F0C37" w:rsidR="00311E1F" w:rsidRPr="00CC25AB" w:rsidRDefault="00311E1F" w:rsidP="00311E1F">
      <w:pPr>
        <w:jc w:val="both"/>
        <w:rPr>
          <w:rFonts w:ascii="Arial" w:hAnsi="Arial"/>
          <w:sz w:val="21"/>
        </w:rPr>
      </w:pPr>
    </w:p>
    <w:p w14:paraId="4C11368F" w14:textId="77777777" w:rsidR="00311E1F" w:rsidRDefault="00311E1F" w:rsidP="00311E1F">
      <w:pPr>
        <w:jc w:val="both"/>
        <w:rPr>
          <w:rFonts w:ascii="Arial" w:hAnsi="Arial"/>
          <w:sz w:val="21"/>
        </w:rPr>
      </w:pPr>
    </w:p>
    <w:p w14:paraId="4893CC14" w14:textId="77777777" w:rsidR="009A01AA" w:rsidRDefault="009A01AA" w:rsidP="00925583">
      <w:pPr>
        <w:jc w:val="both"/>
        <w:rPr>
          <w:rFonts w:ascii="Arial" w:hAnsi="Arial"/>
          <w:sz w:val="21"/>
        </w:rPr>
      </w:pPr>
    </w:p>
    <w:p w14:paraId="6908E538" w14:textId="77777777" w:rsidR="009A01AA" w:rsidRDefault="009A01AA" w:rsidP="00925583">
      <w:pPr>
        <w:jc w:val="both"/>
        <w:rPr>
          <w:rFonts w:ascii="Arial" w:hAnsi="Arial"/>
          <w:sz w:val="21"/>
        </w:rPr>
      </w:pPr>
    </w:p>
    <w:p w14:paraId="154E79E7" w14:textId="77777777" w:rsidR="00E26D0F" w:rsidRDefault="00E26D0F"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287754">
        <w:rPr>
          <w:rFonts w:hint="eastAsia"/>
        </w:rPr>
        <w:t>SECTION I</w:t>
      </w:r>
      <w:r w:rsidRPr="00287754">
        <w:t>I</w:t>
      </w:r>
      <w:r w:rsidRPr="00287754">
        <w:rPr>
          <w:rFonts w:hint="eastAsia"/>
        </w:rPr>
        <w:t>:  ASSESSMENT, EVALUATION AND PARTICIPANT INVOLVEMENT</w:t>
      </w:r>
    </w:p>
    <w:p w14:paraId="70E5B223"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D04539">
      <w:pPr>
        <w:pStyle w:val="BodyText"/>
        <w:rPr>
          <w:i w:val="0"/>
          <w:sz w:val="21"/>
        </w:rPr>
      </w:pPr>
    </w:p>
    <w:p w14:paraId="2D514AE9" w14:textId="77777777" w:rsidR="00D04539" w:rsidRPr="00BF7E36"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2B3A703"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42651A8" w14:textId="7F786B8C" w:rsidR="00E34FB4" w:rsidRDefault="00E34FB4" w:rsidP="00E34FB4">
      <w:pPr>
        <w:pStyle w:val="BodyText"/>
        <w:tabs>
          <w:tab w:val="clear" w:pos="-1080"/>
          <w:tab w:val="clear" w:pos="1980"/>
          <w:tab w:val="clear" w:pos="2520"/>
          <w:tab w:val="left" w:pos="-1440"/>
          <w:tab w:val="left" w:pos="1710"/>
          <w:tab w:val="left" w:pos="2880"/>
        </w:tabs>
        <w:rPr>
          <w:i w:val="0"/>
          <w:sz w:val="21"/>
        </w:rPr>
      </w:pPr>
      <w:r>
        <w:rPr>
          <w:i w:val="0"/>
          <w:sz w:val="21"/>
        </w:rPr>
        <w:t xml:space="preserve">CLARE|MATRIX’s Prevention Department </w:t>
      </w:r>
      <w:r w:rsidR="004E2AD3">
        <w:rPr>
          <w:i w:val="0"/>
          <w:sz w:val="21"/>
        </w:rPr>
        <w:t>works</w:t>
      </w:r>
      <w:r>
        <w:rPr>
          <w:i w:val="0"/>
          <w:sz w:val="21"/>
        </w:rPr>
        <w:t xml:space="preserve"> closely with the SMMUSD mental health coordinator to ensure provided services. The Director of Prevention Services an</w:t>
      </w:r>
      <w:r w:rsidR="004E2AD3">
        <w:rPr>
          <w:i w:val="0"/>
          <w:sz w:val="21"/>
        </w:rPr>
        <w:t>d Prevention Specialist attend</w:t>
      </w:r>
      <w:r>
        <w:rPr>
          <w:i w:val="0"/>
          <w:sz w:val="21"/>
        </w:rPr>
        <w:t xml:space="preserve"> regular re</w:t>
      </w:r>
      <w:r w:rsidR="004E2AD3">
        <w:rPr>
          <w:i w:val="0"/>
          <w:sz w:val="21"/>
        </w:rPr>
        <w:t>ferral meetings and/or consult</w:t>
      </w:r>
      <w:r>
        <w:rPr>
          <w:i w:val="0"/>
          <w:sz w:val="21"/>
        </w:rPr>
        <w:t xml:space="preserve"> with the SMMUSD mental health coordinator and other school administrators to receive new clients and follow-up on the progress of existing clients.  The cloud-based spreadsheet was effective in tracking client service progress that the clinician, the SMMUSD mental health coordinator, and the advisors all may access. The activities spreadsheet created in effort to better track all activities implemented in the schools and community, including but not limited to presentations, groups, and workshops improved deliverable monitoring and outcomes.  The department also</w:t>
      </w:r>
      <w:r w:rsidR="004E2AD3">
        <w:rPr>
          <w:i w:val="0"/>
          <w:sz w:val="21"/>
        </w:rPr>
        <w:t xml:space="preserve"> utilizes</w:t>
      </w:r>
      <w:r>
        <w:rPr>
          <w:i w:val="0"/>
          <w:sz w:val="21"/>
        </w:rPr>
        <w:t xml:space="preserve"> an internal spreadsheet that was shared between the Director of Prevention Services and Prevention Specialist, combining all information from current tracking systems. </w:t>
      </w:r>
    </w:p>
    <w:p w14:paraId="0D176137" w14:textId="77777777" w:rsidR="00E34FB4" w:rsidRDefault="00E34FB4" w:rsidP="00E34FB4">
      <w:pPr>
        <w:pStyle w:val="BodyText"/>
        <w:tabs>
          <w:tab w:val="clear" w:pos="-1080"/>
          <w:tab w:val="clear" w:pos="1980"/>
          <w:tab w:val="clear" w:pos="2520"/>
          <w:tab w:val="left" w:pos="-1440"/>
          <w:tab w:val="left" w:pos="1710"/>
          <w:tab w:val="left" w:pos="2880"/>
        </w:tabs>
        <w:rPr>
          <w:i w:val="0"/>
          <w:sz w:val="21"/>
        </w:rPr>
      </w:pPr>
    </w:p>
    <w:p w14:paraId="54F943E2" w14:textId="1AF2AB8A" w:rsidR="00E34FB4" w:rsidRDefault="00E34FB4" w:rsidP="00E34FB4">
      <w:pPr>
        <w:pStyle w:val="BodyText"/>
        <w:tabs>
          <w:tab w:val="clear" w:pos="-1080"/>
          <w:tab w:val="clear" w:pos="1980"/>
          <w:tab w:val="clear" w:pos="2520"/>
          <w:tab w:val="left" w:pos="-1440"/>
          <w:tab w:val="left" w:pos="1710"/>
          <w:tab w:val="left" w:pos="2880"/>
        </w:tabs>
        <w:rPr>
          <w:i w:val="0"/>
          <w:sz w:val="21"/>
        </w:rPr>
      </w:pPr>
      <w:r>
        <w:rPr>
          <w:i w:val="0"/>
          <w:sz w:val="21"/>
        </w:rPr>
        <w:t>In terms of program documentation, all in</w:t>
      </w:r>
      <w:r w:rsidR="0083488D">
        <w:rPr>
          <w:i w:val="0"/>
          <w:sz w:val="21"/>
        </w:rPr>
        <w:t>dividual and family clients have</w:t>
      </w:r>
      <w:r w:rsidR="00336A3B">
        <w:rPr>
          <w:i w:val="0"/>
          <w:sz w:val="21"/>
        </w:rPr>
        <w:t xml:space="preserve"> the</w:t>
      </w:r>
      <w:r w:rsidR="0083488D">
        <w:rPr>
          <w:i w:val="0"/>
          <w:sz w:val="21"/>
        </w:rPr>
        <w:t>ir own file, which includes</w:t>
      </w:r>
      <w:r w:rsidR="00336A3B">
        <w:rPr>
          <w:i w:val="0"/>
          <w:sz w:val="21"/>
        </w:rPr>
        <w:t xml:space="preserve"> the initial assessment, </w:t>
      </w:r>
      <w:r>
        <w:rPr>
          <w:i w:val="0"/>
          <w:sz w:val="21"/>
        </w:rPr>
        <w:t xml:space="preserve">progress notes, </w:t>
      </w:r>
      <w:r w:rsidR="004B3CBC">
        <w:rPr>
          <w:i w:val="0"/>
          <w:sz w:val="21"/>
        </w:rPr>
        <w:t>consent</w:t>
      </w:r>
      <w:r>
        <w:rPr>
          <w:i w:val="0"/>
          <w:sz w:val="21"/>
        </w:rPr>
        <w:t xml:space="preserve"> for treatment, confidentiality, and notice of trainee </w:t>
      </w:r>
      <w:r w:rsidR="00336A3B">
        <w:rPr>
          <w:i w:val="0"/>
          <w:sz w:val="21"/>
        </w:rPr>
        <w:t xml:space="preserve">documentation. </w:t>
      </w:r>
      <w:r w:rsidR="0083488D">
        <w:rPr>
          <w:i w:val="0"/>
          <w:sz w:val="21"/>
        </w:rPr>
        <w:t>All files are</w:t>
      </w:r>
      <w:r w:rsidR="004B3CBC">
        <w:rPr>
          <w:i w:val="0"/>
          <w:sz w:val="21"/>
        </w:rPr>
        <w:t xml:space="preserve"> secured to maintain confidentiality. </w:t>
      </w:r>
      <w:r w:rsidR="00336A3B">
        <w:rPr>
          <w:i w:val="0"/>
          <w:sz w:val="21"/>
        </w:rPr>
        <w:t>For groups, panels</w:t>
      </w:r>
      <w:r>
        <w:rPr>
          <w:i w:val="0"/>
          <w:sz w:val="21"/>
        </w:rPr>
        <w:t xml:space="preserve"> and presentations, sign-in sheets requ</w:t>
      </w:r>
      <w:r w:rsidR="00336A3B">
        <w:rPr>
          <w:i w:val="0"/>
          <w:sz w:val="21"/>
        </w:rPr>
        <w:t>est</w:t>
      </w:r>
      <w:r w:rsidR="0083488D">
        <w:rPr>
          <w:i w:val="0"/>
          <w:sz w:val="21"/>
        </w:rPr>
        <w:t>ing demographic information are</w:t>
      </w:r>
      <w:r>
        <w:rPr>
          <w:i w:val="0"/>
          <w:sz w:val="21"/>
        </w:rPr>
        <w:t xml:space="preserve"> collected. The Director of Prevention Services</w:t>
      </w:r>
      <w:r w:rsidR="0083488D">
        <w:rPr>
          <w:i w:val="0"/>
          <w:sz w:val="21"/>
        </w:rPr>
        <w:t xml:space="preserve"> supervises staff </w:t>
      </w:r>
      <w:r w:rsidR="00336A3B">
        <w:rPr>
          <w:i w:val="0"/>
          <w:sz w:val="21"/>
        </w:rPr>
        <w:t>weekly</w:t>
      </w:r>
      <w:r w:rsidR="0083488D">
        <w:rPr>
          <w:i w:val="0"/>
          <w:sz w:val="21"/>
        </w:rPr>
        <w:t xml:space="preserve"> </w:t>
      </w:r>
      <w:r>
        <w:rPr>
          <w:i w:val="0"/>
          <w:sz w:val="21"/>
        </w:rPr>
        <w:t>to ensure accuracy and compliance and the CLARE|MATRIX</w:t>
      </w:r>
      <w:r w:rsidR="00336A3B">
        <w:rPr>
          <w:i w:val="0"/>
          <w:sz w:val="21"/>
        </w:rPr>
        <w:t xml:space="preserve"> </w:t>
      </w:r>
      <w:r w:rsidR="0083488D">
        <w:rPr>
          <w:i w:val="0"/>
          <w:sz w:val="21"/>
        </w:rPr>
        <w:t>compliance manager also assists</w:t>
      </w:r>
      <w:r>
        <w:rPr>
          <w:i w:val="0"/>
          <w:sz w:val="21"/>
        </w:rPr>
        <w:t xml:space="preserve"> with auditing client files.</w:t>
      </w:r>
      <w:r w:rsidR="00336A3B">
        <w:rPr>
          <w:i w:val="0"/>
          <w:sz w:val="21"/>
        </w:rPr>
        <w:t xml:space="preserve">  Lastly, a licensed marriage a</w:t>
      </w:r>
      <w:r w:rsidR="0083488D">
        <w:rPr>
          <w:i w:val="0"/>
          <w:sz w:val="21"/>
        </w:rPr>
        <w:t>nd family counselor conducts</w:t>
      </w:r>
      <w:r w:rsidR="00336A3B">
        <w:rPr>
          <w:i w:val="0"/>
          <w:sz w:val="21"/>
        </w:rPr>
        <w:t xml:space="preserve"> a fi</w:t>
      </w:r>
      <w:r w:rsidR="004B3CBC">
        <w:rPr>
          <w:i w:val="0"/>
          <w:sz w:val="21"/>
        </w:rPr>
        <w:t xml:space="preserve">nal review </w:t>
      </w:r>
      <w:r w:rsidR="0083488D">
        <w:rPr>
          <w:i w:val="0"/>
          <w:sz w:val="21"/>
        </w:rPr>
        <w:t>and signs</w:t>
      </w:r>
      <w:r w:rsidR="004B3CBC">
        <w:rPr>
          <w:i w:val="0"/>
          <w:sz w:val="21"/>
        </w:rPr>
        <w:t xml:space="preserve"> all clinical documentation</w:t>
      </w:r>
      <w:r w:rsidR="00336A3B">
        <w:rPr>
          <w:i w:val="0"/>
          <w:sz w:val="21"/>
        </w:rPr>
        <w:t>.</w:t>
      </w:r>
    </w:p>
    <w:p w14:paraId="79AE2B2F" w14:textId="77777777" w:rsidR="00E34FB4" w:rsidRDefault="00E34FB4" w:rsidP="00E34FB4">
      <w:pPr>
        <w:pStyle w:val="BodyText"/>
        <w:tabs>
          <w:tab w:val="clear" w:pos="-1080"/>
          <w:tab w:val="clear" w:pos="1980"/>
          <w:tab w:val="clear" w:pos="2520"/>
          <w:tab w:val="left" w:pos="-1440"/>
          <w:tab w:val="left" w:pos="1710"/>
          <w:tab w:val="left" w:pos="2880"/>
        </w:tabs>
        <w:rPr>
          <w:i w:val="0"/>
          <w:sz w:val="21"/>
        </w:rPr>
      </w:pPr>
    </w:p>
    <w:p w14:paraId="29BBB478" w14:textId="13AB3292" w:rsidR="00E34FB4" w:rsidRDefault="00E34FB4" w:rsidP="00E34FB4">
      <w:pPr>
        <w:pStyle w:val="BodyText"/>
        <w:tabs>
          <w:tab w:val="clear" w:pos="-1080"/>
          <w:tab w:val="clear" w:pos="1980"/>
          <w:tab w:val="clear" w:pos="2520"/>
          <w:tab w:val="left" w:pos="-1440"/>
          <w:tab w:val="left" w:pos="1710"/>
          <w:tab w:val="left" w:pos="2880"/>
        </w:tabs>
        <w:rPr>
          <w:i w:val="0"/>
          <w:sz w:val="21"/>
        </w:rPr>
      </w:pPr>
      <w:r>
        <w:rPr>
          <w:i w:val="0"/>
          <w:sz w:val="21"/>
        </w:rPr>
        <w:t>The Director of Prevention Services and Prevention Specialist regularly attend school-based mental health coordinator’s meetings</w:t>
      </w:r>
      <w:r w:rsidR="008A2AF5">
        <w:rPr>
          <w:i w:val="0"/>
          <w:sz w:val="21"/>
        </w:rPr>
        <w:t>. These meetings gi</w:t>
      </w:r>
      <w:r>
        <w:rPr>
          <w:i w:val="0"/>
          <w:sz w:val="21"/>
        </w:rPr>
        <w:t>ve CLARE|MATRIX the opportunity to exchange ideas with other service providers and to stay abreast of community and school district happenings. Other collaborations include participation in the City of Santa Monica’s Cradle to Career initiative. The team is also a part of the Youth Resource Team (YRT) and Middle School Support Team (MSST), which help</w:t>
      </w:r>
      <w:r w:rsidR="008A2AF5">
        <w:rPr>
          <w:i w:val="0"/>
          <w:sz w:val="21"/>
        </w:rPr>
        <w:t>s</w:t>
      </w:r>
      <w:r>
        <w:rPr>
          <w:i w:val="0"/>
          <w:sz w:val="21"/>
        </w:rPr>
        <w:t xml:space="preserve"> the team coordinate services for some of the highest </w:t>
      </w:r>
      <w:proofErr w:type="gramStart"/>
      <w:r>
        <w:rPr>
          <w:i w:val="0"/>
          <w:sz w:val="21"/>
        </w:rPr>
        <w:t>needs</w:t>
      </w:r>
      <w:proofErr w:type="gramEnd"/>
      <w:r>
        <w:rPr>
          <w:i w:val="0"/>
          <w:sz w:val="21"/>
        </w:rPr>
        <w:t xml:space="preserve"> youth in the City. The wealth of resources availa</w:t>
      </w:r>
      <w:r w:rsidR="00917909">
        <w:rPr>
          <w:i w:val="0"/>
          <w:sz w:val="21"/>
        </w:rPr>
        <w:t xml:space="preserve">ble </w:t>
      </w:r>
      <w:r w:rsidR="008A2AF5">
        <w:rPr>
          <w:i w:val="0"/>
          <w:sz w:val="21"/>
        </w:rPr>
        <w:t>through these collaborations have</w:t>
      </w:r>
      <w:r>
        <w:rPr>
          <w:i w:val="0"/>
          <w:sz w:val="21"/>
        </w:rPr>
        <w:t xml:space="preserve"> been highly utilized, especially when there is youth in program care that need case management services and resources that may be beyond the scope of the program, such as domestic violence, housing, legal advice, job training, or more severe mental health issues. The Prevention team</w:t>
      </w:r>
      <w:r w:rsidR="00917909">
        <w:rPr>
          <w:i w:val="0"/>
          <w:sz w:val="21"/>
        </w:rPr>
        <w:t xml:space="preserve"> serve</w:t>
      </w:r>
      <w:r w:rsidR="008A2AF5">
        <w:rPr>
          <w:i w:val="0"/>
          <w:sz w:val="21"/>
        </w:rPr>
        <w:t>s</w:t>
      </w:r>
      <w:r>
        <w:rPr>
          <w:i w:val="0"/>
          <w:sz w:val="21"/>
        </w:rPr>
        <w:t xml:space="preserve"> as a resource for others within the collaborative, accepting referrals through YRT and providing them with</w:t>
      </w:r>
      <w:r w:rsidR="00917909">
        <w:rPr>
          <w:i w:val="0"/>
          <w:sz w:val="21"/>
        </w:rPr>
        <w:t xml:space="preserve"> </w:t>
      </w:r>
      <w:r w:rsidR="008A2AF5">
        <w:rPr>
          <w:i w:val="0"/>
          <w:sz w:val="21"/>
        </w:rPr>
        <w:t>counseling when substance use i</w:t>
      </w:r>
      <w:r>
        <w:rPr>
          <w:i w:val="0"/>
          <w:sz w:val="21"/>
        </w:rPr>
        <w:t>s a presenting issue. The Pr</w:t>
      </w:r>
      <w:r w:rsidR="008A2AF5">
        <w:rPr>
          <w:i w:val="0"/>
          <w:sz w:val="21"/>
        </w:rPr>
        <w:t>evention Team has also partnered</w:t>
      </w:r>
      <w:r>
        <w:rPr>
          <w:i w:val="0"/>
          <w:sz w:val="21"/>
        </w:rPr>
        <w:t xml:space="preserve"> with the Santa Monica Parent Teacher and Student Association, identifying community and student </w:t>
      </w:r>
      <w:proofErr w:type="gramStart"/>
      <w:r>
        <w:rPr>
          <w:i w:val="0"/>
          <w:sz w:val="21"/>
        </w:rPr>
        <w:t>needs</w:t>
      </w:r>
      <w:proofErr w:type="gramEnd"/>
      <w:r>
        <w:rPr>
          <w:i w:val="0"/>
          <w:sz w:val="21"/>
        </w:rPr>
        <w:t xml:space="preserve"> and providing educational seminars on topics related to youth substance use. </w:t>
      </w:r>
    </w:p>
    <w:p w14:paraId="1F350C75" w14:textId="1704ECEE" w:rsidR="00E34FB4" w:rsidRDefault="00E34FB4" w:rsidP="00E34FB4">
      <w:pPr>
        <w:pStyle w:val="BodyText"/>
        <w:tabs>
          <w:tab w:val="clear" w:pos="-1080"/>
          <w:tab w:val="clear" w:pos="1980"/>
          <w:tab w:val="clear" w:pos="2520"/>
          <w:tab w:val="left" w:pos="-1440"/>
          <w:tab w:val="left" w:pos="1710"/>
          <w:tab w:val="left" w:pos="2880"/>
        </w:tabs>
        <w:rPr>
          <w:i w:val="0"/>
          <w:sz w:val="21"/>
        </w:rPr>
      </w:pPr>
    </w:p>
    <w:p w14:paraId="512B9E0C" w14:textId="62C20F57" w:rsidR="00E34FB4" w:rsidRDefault="00E34FB4" w:rsidP="00E34FB4">
      <w:pPr>
        <w:pStyle w:val="BodyText"/>
        <w:tabs>
          <w:tab w:val="clear" w:pos="-1080"/>
          <w:tab w:val="clear" w:pos="1980"/>
          <w:tab w:val="clear" w:pos="2520"/>
          <w:tab w:val="left" w:pos="-1440"/>
          <w:tab w:val="left" w:pos="1710"/>
          <w:tab w:val="left" w:pos="2880"/>
        </w:tabs>
        <w:rPr>
          <w:rFonts w:cs="Arial"/>
          <w:i w:val="0"/>
          <w:sz w:val="21"/>
          <w:szCs w:val="21"/>
        </w:rPr>
      </w:pPr>
      <w:r>
        <w:rPr>
          <w:rFonts w:cs="Arial"/>
          <w:i w:val="0"/>
          <w:sz w:val="21"/>
          <w:szCs w:val="21"/>
        </w:rPr>
        <w:t>The Prevention Specialist a</w:t>
      </w:r>
      <w:r w:rsidR="008A2AF5">
        <w:rPr>
          <w:rFonts w:cs="Arial"/>
          <w:i w:val="0"/>
          <w:sz w:val="21"/>
          <w:szCs w:val="21"/>
        </w:rPr>
        <w:t>ttends</w:t>
      </w:r>
      <w:r>
        <w:rPr>
          <w:rFonts w:cs="Arial"/>
          <w:i w:val="0"/>
          <w:sz w:val="21"/>
          <w:szCs w:val="21"/>
        </w:rPr>
        <w:t xml:space="preserve"> supervision twice weekly in an effort to keep</w:t>
      </w:r>
      <w:r w:rsidRPr="007D3DD2">
        <w:rPr>
          <w:rFonts w:cs="Arial"/>
          <w:i w:val="0"/>
          <w:sz w:val="21"/>
          <w:szCs w:val="21"/>
        </w:rPr>
        <w:t xml:space="preserve"> services as effective and relevant to students’ needs as possible. </w:t>
      </w:r>
    </w:p>
    <w:p w14:paraId="7D0A8D70" w14:textId="77777777" w:rsidR="009A01AA" w:rsidRDefault="009A01A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287754">
        <w:rPr>
          <w:rFonts w:hint="eastAsia"/>
        </w:rPr>
        <w:t xml:space="preserve">SECTION </w:t>
      </w:r>
      <w:r w:rsidRPr="00287754">
        <w:t>III</w:t>
      </w:r>
      <w:r w:rsidRPr="00287754">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2707A7D3" w14:textId="2FC2B20A"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 xml:space="preserve">Number of </w:t>
      </w:r>
      <w:r>
        <w:rPr>
          <w:rFonts w:hint="eastAsia"/>
          <w:i w:val="0"/>
          <w:sz w:val="21"/>
        </w:rPr>
        <w:t>Board meetings conducted</w:t>
      </w:r>
      <w:r>
        <w:rPr>
          <w:i w:val="0"/>
          <w:sz w:val="21"/>
        </w:rPr>
        <w:t xml:space="preserve"> during the reporting period</w:t>
      </w:r>
      <w:r w:rsidR="00F71A50">
        <w:rPr>
          <w:i w:val="0"/>
          <w:sz w:val="21"/>
        </w:rPr>
        <w:t xml:space="preserve"> - </w:t>
      </w:r>
      <w:r w:rsidR="009341CE">
        <w:rPr>
          <w:i w:val="0"/>
          <w:sz w:val="21"/>
        </w:rPr>
        <w:t>12</w:t>
      </w:r>
    </w:p>
    <w:p w14:paraId="6BBE0166" w14:textId="0847AB56"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A</w:t>
      </w:r>
      <w:r>
        <w:rPr>
          <w:rFonts w:hint="eastAsia"/>
          <w:i w:val="0"/>
          <w:sz w:val="21"/>
        </w:rPr>
        <w:t>verage Board member attendance</w:t>
      </w:r>
      <w:r w:rsidR="00E00082">
        <w:rPr>
          <w:i w:val="0"/>
          <w:sz w:val="21"/>
        </w:rPr>
        <w:t xml:space="preserve"> – 85%</w:t>
      </w:r>
    </w:p>
    <w:p w14:paraId="73488549" w14:textId="2BE0E04C"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Board development activities conducted during the reporting period</w:t>
      </w:r>
      <w:r w:rsidR="00E00082">
        <w:rPr>
          <w:i w:val="0"/>
          <w:sz w:val="21"/>
        </w:rPr>
        <w:t xml:space="preserve"> - </w:t>
      </w:r>
      <w:r w:rsidR="00E00082">
        <w:rPr>
          <w:rFonts w:cs="Arial"/>
          <w:color w:val="000000"/>
          <w:sz w:val="21"/>
          <w:szCs w:val="21"/>
          <w:shd w:val="clear" w:color="auto" w:fill="FFFFFF"/>
        </w:rPr>
        <w:t>The </w:t>
      </w:r>
      <w:r w:rsidR="00E00082">
        <w:rPr>
          <w:rStyle w:val="marknbawojzk3"/>
          <w:rFonts w:cs="Arial"/>
          <w:color w:val="000000"/>
          <w:sz w:val="21"/>
          <w:szCs w:val="21"/>
          <w:bdr w:val="none" w:sz="0" w:space="0" w:color="auto" w:frame="1"/>
          <w:shd w:val="clear" w:color="auto" w:fill="FFFFFF"/>
        </w:rPr>
        <w:t>Board</w:t>
      </w:r>
      <w:r w:rsidR="00E00082">
        <w:rPr>
          <w:rFonts w:cs="Arial"/>
          <w:color w:val="000000"/>
          <w:sz w:val="21"/>
          <w:szCs w:val="21"/>
          <w:shd w:val="clear" w:color="auto" w:fill="FFFFFF"/>
        </w:rPr>
        <w:t> agreed to postpone the May 4, 2023 gala to the spring of 2024.</w:t>
      </w:r>
    </w:p>
    <w:p w14:paraId="402E3CA1" w14:textId="4864C4DC"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S</w:t>
      </w:r>
      <w:r>
        <w:rPr>
          <w:rFonts w:hint="eastAsia"/>
          <w:i w:val="0"/>
          <w:sz w:val="21"/>
        </w:rPr>
        <w:t>ignificant policy directions or actions taken by the Board during the reporting period</w:t>
      </w:r>
      <w:r w:rsidR="00E00082">
        <w:rPr>
          <w:i w:val="0"/>
          <w:sz w:val="21"/>
        </w:rPr>
        <w:t xml:space="preserve"> – The Board of </w:t>
      </w:r>
      <w:r w:rsidR="00E00082">
        <w:rPr>
          <w:i w:val="0"/>
          <w:sz w:val="21"/>
        </w:rPr>
        <w:lastRenderedPageBreak/>
        <w:t xml:space="preserve">Directors brought on Ascension Recovery Services in a Master Service Agreement to partner as a consulting firm for our programs, </w:t>
      </w:r>
      <w:proofErr w:type="gramStart"/>
      <w:r w:rsidR="00E00082">
        <w:rPr>
          <w:i w:val="0"/>
          <w:sz w:val="21"/>
        </w:rPr>
        <w:t>HR</w:t>
      </w:r>
      <w:proofErr w:type="gramEnd"/>
      <w:r w:rsidR="00E00082">
        <w:rPr>
          <w:i w:val="0"/>
          <w:sz w:val="21"/>
        </w:rPr>
        <w:t xml:space="preserve"> and financial departments, as well as elected a new Executive Director; Steve Glick.</w:t>
      </w:r>
    </w:p>
    <w:p w14:paraId="48D8B0BF" w14:textId="2E77A0EC"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Number of board members who reside and/or work in Santa Monica</w:t>
      </w:r>
      <w:r w:rsidR="00E00082">
        <w:rPr>
          <w:i w:val="0"/>
          <w:sz w:val="21"/>
        </w:rPr>
        <w:t xml:space="preserve"> - 1</w:t>
      </w:r>
    </w:p>
    <w:p w14:paraId="3C017B6F" w14:textId="1757405E"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rFonts w:hint="eastAsia"/>
          <w:i w:val="0"/>
          <w:sz w:val="21"/>
        </w:rPr>
        <w:t>Board vacancies and plans to fill those vacancies</w:t>
      </w:r>
      <w:r>
        <w:rPr>
          <w:i w:val="0"/>
          <w:sz w:val="21"/>
        </w:rPr>
        <w:t>, if applicable</w:t>
      </w:r>
      <w:r w:rsidR="00E00082">
        <w:rPr>
          <w:i w:val="0"/>
          <w:sz w:val="21"/>
        </w:rPr>
        <w:t xml:space="preserve"> – There are no executive board positions openings, but recruitment of new board members is always underway.</w:t>
      </w:r>
    </w:p>
    <w:p w14:paraId="1FE92851"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EBC80D8"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0A7BB02"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DFBB7"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87754">
        <w:rPr>
          <w:rFonts w:hint="eastAsia"/>
        </w:rPr>
        <w:t xml:space="preserve">SECTION </w:t>
      </w:r>
      <w:r w:rsidRPr="00287754">
        <w:t>IV</w:t>
      </w:r>
      <w:r w:rsidRPr="00287754">
        <w:rPr>
          <w:rFonts w:hint="eastAsia"/>
        </w:rPr>
        <w:t>: STAFFING PATTERN</w:t>
      </w:r>
    </w:p>
    <w:p w14:paraId="5C67D97A"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w:t>
      </w:r>
      <w:proofErr w:type="gramStart"/>
      <w:r>
        <w:rPr>
          <w:rFonts w:hint="eastAsia"/>
          <w:i w:val="0"/>
          <w:sz w:val="21"/>
        </w:rPr>
        <w:t>date</w:t>
      </w:r>
      <w:proofErr w:type="gramEnd"/>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interns were used during the reporting period.  Provide the 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w:t>
      </w:r>
      <w:proofErr w:type="gramStart"/>
      <w:r>
        <w:rPr>
          <w:i w:val="0"/>
          <w:sz w:val="21"/>
        </w:rPr>
        <w:t>e.g.</w:t>
      </w:r>
      <w:proofErr w:type="gramEnd"/>
      <w:r>
        <w:rPr>
          <w:i w:val="0"/>
          <w:sz w:val="21"/>
        </w:rPr>
        <w:t xml:space="preserve"> undergraduate, masters).</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5C43450" w14:textId="77777777" w:rsidR="002752B5" w:rsidRPr="00F03715" w:rsidRDefault="002752B5" w:rsidP="002752B5">
      <w:pPr>
        <w:pStyle w:val="BodyText"/>
        <w:tabs>
          <w:tab w:val="clear" w:pos="-1080"/>
          <w:tab w:val="clear" w:pos="1980"/>
          <w:tab w:val="clear" w:pos="2520"/>
          <w:tab w:val="left" w:pos="-1440"/>
          <w:tab w:val="left" w:pos="1710"/>
          <w:tab w:val="left" w:pos="2880"/>
        </w:tabs>
        <w:rPr>
          <w:rFonts w:cs="Arial"/>
          <w:i w:val="0"/>
          <w:sz w:val="21"/>
          <w:szCs w:val="21"/>
        </w:rPr>
      </w:pPr>
      <w:r>
        <w:rPr>
          <w:rFonts w:cs="Arial"/>
          <w:i w:val="0"/>
          <w:sz w:val="21"/>
          <w:szCs w:val="21"/>
        </w:rPr>
        <w:t>The Prevention team has not had</w:t>
      </w:r>
      <w:r w:rsidRPr="00F03715">
        <w:rPr>
          <w:rFonts w:cs="Arial"/>
          <w:i w:val="0"/>
          <w:sz w:val="21"/>
          <w:szCs w:val="21"/>
        </w:rPr>
        <w:t xml:space="preserve"> significant staffing changes during the reporting period</w:t>
      </w:r>
      <w:r>
        <w:rPr>
          <w:rFonts w:cs="Arial"/>
          <w:i w:val="0"/>
          <w:sz w:val="21"/>
          <w:szCs w:val="21"/>
        </w:rPr>
        <w:t xml:space="preserve">.  The Prevention Team continues to consist of one Prevention Specialist, Stephanie </w:t>
      </w:r>
      <w:proofErr w:type="gramStart"/>
      <w:r>
        <w:rPr>
          <w:rFonts w:cs="Arial"/>
          <w:i w:val="0"/>
          <w:sz w:val="21"/>
          <w:szCs w:val="21"/>
        </w:rPr>
        <w:t>Aguirre</w:t>
      </w:r>
      <w:proofErr w:type="gramEnd"/>
      <w:r>
        <w:rPr>
          <w:rFonts w:cs="Arial"/>
          <w:i w:val="0"/>
          <w:sz w:val="21"/>
          <w:szCs w:val="21"/>
        </w:rPr>
        <w:t xml:space="preserve"> and a Director of Prevention Services, Jolan Millard. </w:t>
      </w:r>
      <w:r w:rsidRPr="00F03715">
        <w:rPr>
          <w:rFonts w:cs="Arial"/>
          <w:i w:val="0"/>
          <w:sz w:val="21"/>
          <w:szCs w:val="21"/>
        </w:rPr>
        <w:t>Nimra Gardley</w:t>
      </w:r>
      <w:r>
        <w:rPr>
          <w:rFonts w:cs="Arial"/>
          <w:i w:val="0"/>
          <w:sz w:val="21"/>
          <w:szCs w:val="21"/>
        </w:rPr>
        <w:t xml:space="preserve"> remains the program’s Clinical Supervisor</w:t>
      </w:r>
      <w:r w:rsidRPr="00F03715">
        <w:rPr>
          <w:rFonts w:cs="Arial"/>
          <w:i w:val="0"/>
          <w:sz w:val="21"/>
          <w:szCs w:val="21"/>
        </w:rPr>
        <w:t>.</w:t>
      </w:r>
      <w:r>
        <w:rPr>
          <w:rFonts w:cs="Arial"/>
          <w:i w:val="0"/>
          <w:sz w:val="21"/>
          <w:szCs w:val="21"/>
        </w:rPr>
        <w:t xml:space="preserve">  Volunteers and interns are not being utilized at this time.</w:t>
      </w:r>
    </w:p>
    <w:p w14:paraId="4DFFFC70" w14:textId="7D27BF21" w:rsidR="00E26D0F" w:rsidRDefault="00E26D0F" w:rsidP="5C75259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u w:val="single"/>
        </w:rPr>
      </w:pPr>
    </w:p>
    <w:p w14:paraId="70844454"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287754">
        <w:rPr>
          <w:rFonts w:ascii="Arial" w:hAnsi="Arial" w:hint="eastAsia"/>
          <w:b/>
          <w:sz w:val="21"/>
          <w:u w:val="single"/>
        </w:rPr>
        <w:t>SECTION V</w:t>
      </w:r>
      <w:r w:rsidRPr="00287754">
        <w:rPr>
          <w:rFonts w:ascii="Arial" w:hAnsi="Arial"/>
          <w:b/>
          <w:sz w:val="21"/>
          <w:u w:val="single"/>
        </w:rPr>
        <w:t>:</w:t>
      </w:r>
      <w:r w:rsidRPr="00287754">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E71D62E"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03289F6"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4D984D5" w14:textId="77777777" w:rsidR="009C0022" w:rsidRPr="00C260AA" w:rsidRDefault="009C0022" w:rsidP="009C0022">
      <w:pPr>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C260AA">
        <w:rPr>
          <w:rFonts w:ascii="Arial" w:hAnsi="Arial" w:cs="Arial"/>
          <w:sz w:val="21"/>
          <w:szCs w:val="21"/>
        </w:rPr>
        <w:t>Participate in the City’s efforts to develop an Outcomes Measurement System to better track human services program demographics and outcomes. Participation may include but is not limited to meeting with City staff, consultants, and community members;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07C9C895" w14:textId="77777777" w:rsidR="009C0022" w:rsidRPr="00C260AA"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6320B081" w14:textId="67D03FEE" w:rsidR="009C0022" w:rsidRPr="00C260AA" w:rsidRDefault="009C0022" w:rsidP="009C0022">
      <w:pPr>
        <w:numPr>
          <w:ilvl w:val="0"/>
          <w:numId w:val="1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1"/>
          <w:szCs w:val="21"/>
        </w:rPr>
      </w:pPr>
      <w:r>
        <w:rPr>
          <w:rFonts w:ascii="Arial" w:hAnsi="Arial" w:cs="Arial"/>
          <w:sz w:val="21"/>
          <w:szCs w:val="21"/>
        </w:rPr>
        <w:t>The Prevention Specialist and</w:t>
      </w:r>
      <w:r w:rsidR="007E4954">
        <w:rPr>
          <w:rFonts w:ascii="Arial" w:hAnsi="Arial" w:cs="Arial"/>
          <w:sz w:val="21"/>
          <w:szCs w:val="21"/>
        </w:rPr>
        <w:t xml:space="preserve"> Director of Prevention S</w:t>
      </w:r>
      <w:r>
        <w:rPr>
          <w:rFonts w:ascii="Arial" w:hAnsi="Arial" w:cs="Arial"/>
          <w:sz w:val="21"/>
          <w:szCs w:val="21"/>
        </w:rPr>
        <w:t>ervices regularly attend</w:t>
      </w:r>
      <w:r w:rsidRPr="00C260AA">
        <w:rPr>
          <w:rFonts w:ascii="Arial" w:hAnsi="Arial" w:cs="Arial"/>
          <w:sz w:val="21"/>
          <w:szCs w:val="21"/>
        </w:rPr>
        <w:t xml:space="preserve"> community meetings with school administration, mental he</w:t>
      </w:r>
      <w:r w:rsidR="009828FE">
        <w:rPr>
          <w:rFonts w:ascii="Arial" w:hAnsi="Arial" w:cs="Arial"/>
          <w:sz w:val="21"/>
          <w:szCs w:val="21"/>
        </w:rPr>
        <w:t>alth providers, and</w:t>
      </w:r>
      <w:r w:rsidR="007E4954">
        <w:rPr>
          <w:rFonts w:ascii="Arial" w:hAnsi="Arial" w:cs="Arial"/>
          <w:sz w:val="21"/>
          <w:szCs w:val="21"/>
        </w:rPr>
        <w:t xml:space="preserve"> collaborate</w:t>
      </w:r>
      <w:r w:rsidR="009828FE">
        <w:rPr>
          <w:rFonts w:ascii="Arial" w:hAnsi="Arial" w:cs="Arial"/>
          <w:sz w:val="21"/>
          <w:szCs w:val="21"/>
        </w:rPr>
        <w:t xml:space="preserve"> with </w:t>
      </w:r>
      <w:r w:rsidRPr="00C260AA">
        <w:rPr>
          <w:rFonts w:ascii="Arial" w:hAnsi="Arial" w:cs="Arial"/>
          <w:sz w:val="21"/>
          <w:szCs w:val="21"/>
        </w:rPr>
        <w:t>Santa Monica City staff to assess the needs of our community</w:t>
      </w:r>
      <w:r>
        <w:rPr>
          <w:rFonts w:ascii="Arial" w:hAnsi="Arial" w:cs="Arial"/>
          <w:sz w:val="21"/>
          <w:szCs w:val="21"/>
        </w:rPr>
        <w:t>. The Director of Prevention Services</w:t>
      </w:r>
      <w:r w:rsidR="007E4954">
        <w:rPr>
          <w:rFonts w:ascii="Arial" w:hAnsi="Arial" w:cs="Arial"/>
          <w:sz w:val="21"/>
          <w:szCs w:val="21"/>
        </w:rPr>
        <w:t xml:space="preserve"> works</w:t>
      </w:r>
      <w:r w:rsidRPr="00C260AA">
        <w:rPr>
          <w:rFonts w:ascii="Arial" w:hAnsi="Arial" w:cs="Arial"/>
          <w:sz w:val="21"/>
          <w:szCs w:val="21"/>
        </w:rPr>
        <w:t xml:space="preserve"> with the C</w:t>
      </w:r>
      <w:r>
        <w:rPr>
          <w:rFonts w:ascii="Arial" w:hAnsi="Arial" w:cs="Arial"/>
          <w:sz w:val="21"/>
          <w:szCs w:val="21"/>
        </w:rPr>
        <w:t>LARE|MATRIX Evaluator to ensure implementation of</w:t>
      </w:r>
      <w:r w:rsidRPr="00C260AA">
        <w:rPr>
          <w:rFonts w:ascii="Arial" w:hAnsi="Arial" w:cs="Arial"/>
          <w:sz w:val="21"/>
          <w:szCs w:val="21"/>
        </w:rPr>
        <w:t xml:space="preserve"> tools to measure program performance and progress</w:t>
      </w:r>
      <w:r w:rsidR="007E4954">
        <w:rPr>
          <w:rFonts w:ascii="Arial" w:hAnsi="Arial" w:cs="Arial"/>
          <w:sz w:val="21"/>
          <w:szCs w:val="21"/>
        </w:rPr>
        <w:t xml:space="preserve"> are</w:t>
      </w:r>
      <w:r>
        <w:rPr>
          <w:rFonts w:ascii="Arial" w:hAnsi="Arial" w:cs="Arial"/>
          <w:sz w:val="21"/>
          <w:szCs w:val="21"/>
        </w:rPr>
        <w:t xml:space="preserve"> appropriately utilized and effective in program outcomes</w:t>
      </w:r>
      <w:r w:rsidRPr="00C260AA">
        <w:rPr>
          <w:rFonts w:ascii="Arial" w:hAnsi="Arial" w:cs="Arial"/>
          <w:sz w:val="21"/>
          <w:szCs w:val="21"/>
        </w:rPr>
        <w:t>. Additionally</w:t>
      </w:r>
      <w:r>
        <w:rPr>
          <w:rFonts w:ascii="Arial" w:hAnsi="Arial" w:cs="Arial"/>
          <w:sz w:val="21"/>
          <w:szCs w:val="21"/>
        </w:rPr>
        <w:t>, the Director of Prevention Services</w:t>
      </w:r>
      <w:r w:rsidR="007E4954">
        <w:rPr>
          <w:rFonts w:ascii="Arial" w:hAnsi="Arial" w:cs="Arial"/>
          <w:sz w:val="21"/>
          <w:szCs w:val="21"/>
        </w:rPr>
        <w:t xml:space="preserve"> collects</w:t>
      </w:r>
      <w:r w:rsidRPr="00C260AA">
        <w:rPr>
          <w:rFonts w:ascii="Arial" w:hAnsi="Arial" w:cs="Arial"/>
          <w:sz w:val="21"/>
          <w:szCs w:val="21"/>
        </w:rPr>
        <w:t xml:space="preserve"> data on clients served, number of individual sessio</w:t>
      </w:r>
      <w:r>
        <w:rPr>
          <w:rFonts w:ascii="Arial" w:hAnsi="Arial" w:cs="Arial"/>
          <w:sz w:val="21"/>
          <w:szCs w:val="21"/>
        </w:rPr>
        <w:t>ns, sign in sheets, etc. for</w:t>
      </w:r>
      <w:r w:rsidRPr="00C260AA">
        <w:rPr>
          <w:rFonts w:ascii="Arial" w:hAnsi="Arial" w:cs="Arial"/>
          <w:sz w:val="21"/>
          <w:szCs w:val="21"/>
        </w:rPr>
        <w:t xml:space="preserve"> monthly performance metrics repor</w:t>
      </w:r>
      <w:r w:rsidR="00FA1C65">
        <w:rPr>
          <w:rFonts w:ascii="Arial" w:hAnsi="Arial" w:cs="Arial"/>
          <w:sz w:val="21"/>
          <w:szCs w:val="21"/>
        </w:rPr>
        <w:t>ts. T</w:t>
      </w:r>
      <w:r w:rsidR="009828FE">
        <w:rPr>
          <w:rFonts w:ascii="Arial" w:hAnsi="Arial" w:cs="Arial"/>
          <w:sz w:val="21"/>
          <w:szCs w:val="21"/>
        </w:rPr>
        <w:t>he C</w:t>
      </w:r>
      <w:r w:rsidR="007E4954">
        <w:rPr>
          <w:rFonts w:ascii="Arial" w:hAnsi="Arial" w:cs="Arial"/>
          <w:sz w:val="21"/>
          <w:szCs w:val="21"/>
        </w:rPr>
        <w:t>LARE</w:t>
      </w:r>
      <w:r w:rsidR="009828FE">
        <w:rPr>
          <w:rFonts w:ascii="Arial" w:hAnsi="Arial" w:cs="Arial"/>
          <w:sz w:val="21"/>
          <w:szCs w:val="21"/>
        </w:rPr>
        <w:t>|M</w:t>
      </w:r>
      <w:r w:rsidR="007E4954">
        <w:rPr>
          <w:rFonts w:ascii="Arial" w:hAnsi="Arial" w:cs="Arial"/>
          <w:sz w:val="21"/>
          <w:szCs w:val="21"/>
        </w:rPr>
        <w:t>ATRIX</w:t>
      </w:r>
      <w:r w:rsidR="009828FE">
        <w:rPr>
          <w:rFonts w:ascii="Arial" w:hAnsi="Arial" w:cs="Arial"/>
          <w:sz w:val="21"/>
          <w:szCs w:val="21"/>
        </w:rPr>
        <w:t xml:space="preserve"> team </w:t>
      </w:r>
      <w:r w:rsidR="007E4954">
        <w:rPr>
          <w:rFonts w:ascii="Arial" w:hAnsi="Arial" w:cs="Arial"/>
          <w:sz w:val="21"/>
          <w:szCs w:val="21"/>
        </w:rPr>
        <w:t>and providers remain</w:t>
      </w:r>
      <w:r w:rsidR="00FA1C65">
        <w:rPr>
          <w:rFonts w:ascii="Arial" w:hAnsi="Arial" w:cs="Arial"/>
          <w:sz w:val="21"/>
          <w:szCs w:val="21"/>
        </w:rPr>
        <w:t xml:space="preserve"> mutually </w:t>
      </w:r>
      <w:r w:rsidR="009828FE">
        <w:rPr>
          <w:rFonts w:ascii="Arial" w:hAnsi="Arial" w:cs="Arial"/>
          <w:sz w:val="21"/>
          <w:szCs w:val="21"/>
        </w:rPr>
        <w:t>informed</w:t>
      </w:r>
      <w:r w:rsidRPr="00C260AA">
        <w:rPr>
          <w:rFonts w:ascii="Arial" w:hAnsi="Arial" w:cs="Arial"/>
          <w:sz w:val="21"/>
          <w:szCs w:val="21"/>
        </w:rPr>
        <w:t xml:space="preserve"> on policies and procedures regarding student service referrals for the Clarity for Youth couns</w:t>
      </w:r>
      <w:r w:rsidR="00FA1C65">
        <w:rPr>
          <w:rFonts w:ascii="Arial" w:hAnsi="Arial" w:cs="Arial"/>
          <w:sz w:val="21"/>
          <w:szCs w:val="21"/>
        </w:rPr>
        <w:t>eling and</w:t>
      </w:r>
      <w:r w:rsidRPr="00C260AA">
        <w:rPr>
          <w:rFonts w:ascii="Arial" w:hAnsi="Arial" w:cs="Arial"/>
          <w:sz w:val="21"/>
          <w:szCs w:val="21"/>
        </w:rPr>
        <w:t xml:space="preserve"> CLARE|MATRIX policies.  During t</w:t>
      </w:r>
      <w:r w:rsidR="00FA1C65">
        <w:rPr>
          <w:rFonts w:ascii="Arial" w:hAnsi="Arial" w:cs="Arial"/>
          <w:sz w:val="21"/>
          <w:szCs w:val="21"/>
        </w:rPr>
        <w:t xml:space="preserve">his time, </w:t>
      </w:r>
      <w:r>
        <w:rPr>
          <w:rFonts w:ascii="Arial" w:hAnsi="Arial" w:cs="Arial"/>
          <w:sz w:val="21"/>
          <w:szCs w:val="21"/>
        </w:rPr>
        <w:t>the Director of Prevention</w:t>
      </w:r>
      <w:r w:rsidRPr="00C260AA">
        <w:rPr>
          <w:rFonts w:ascii="Arial" w:hAnsi="Arial" w:cs="Arial"/>
          <w:sz w:val="21"/>
          <w:szCs w:val="21"/>
        </w:rPr>
        <w:t xml:space="preserve"> </w:t>
      </w:r>
      <w:r w:rsidR="00FA1C65">
        <w:rPr>
          <w:rFonts w:ascii="Arial" w:hAnsi="Arial" w:cs="Arial"/>
          <w:sz w:val="21"/>
          <w:szCs w:val="21"/>
        </w:rPr>
        <w:t>Services continued to attend provider</w:t>
      </w:r>
      <w:r w:rsidRPr="00C260AA">
        <w:rPr>
          <w:rFonts w:ascii="Arial" w:hAnsi="Arial" w:cs="Arial"/>
          <w:sz w:val="21"/>
          <w:szCs w:val="21"/>
        </w:rPr>
        <w:t xml:space="preserve"> meetings virtually. </w:t>
      </w:r>
    </w:p>
    <w:p w14:paraId="78201D6D" w14:textId="77777777" w:rsidR="009C0022" w:rsidRPr="002C4D13" w:rsidRDefault="009C0022" w:rsidP="009C0022">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sz w:val="21"/>
          <w:szCs w:val="21"/>
          <w:highlight w:val="yellow"/>
        </w:rPr>
      </w:pPr>
    </w:p>
    <w:p w14:paraId="0315D344" w14:textId="77777777" w:rsidR="009C0022" w:rsidRPr="00130FB1" w:rsidRDefault="009C0022" w:rsidP="009C0022">
      <w:pPr>
        <w:pStyle w:val="ListParagraph"/>
        <w:numPr>
          <w:ilvl w:val="0"/>
          <w:numId w:val="10"/>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r w:rsidRPr="00130FB1">
        <w:rPr>
          <w:rFonts w:ascii="Arial" w:eastAsia="Arial" w:hAnsi="Arial" w:cs="Arial"/>
          <w:sz w:val="21"/>
          <w:szCs w:val="21"/>
        </w:rPr>
        <w:t xml:space="preserve">Detail steps taken to provide services in adherence to the safety protocols related to the COVID-19 pandemic, including modifications to service delivery, physical infrastructure and safety equipment </w:t>
      </w:r>
      <w:r w:rsidRPr="00130FB1">
        <w:rPr>
          <w:rFonts w:ascii="Arial" w:eastAsia="Arial" w:hAnsi="Arial" w:cs="Arial"/>
          <w:sz w:val="21"/>
          <w:szCs w:val="21"/>
        </w:rPr>
        <w:lastRenderedPageBreak/>
        <w:t xml:space="preserve">and protocols to protect participants and staff. </w:t>
      </w:r>
    </w:p>
    <w:p w14:paraId="77568422" w14:textId="77777777" w:rsidR="009C0022" w:rsidRDefault="009C0022" w:rsidP="009C0022">
      <w:pPr>
        <w:numPr>
          <w:ilvl w:val="1"/>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CLARE|MATRIX staff have remained in compliance with current public health guidance regarding COVID-19, while remaining vigilant in serving the youth of Santa Monica.  Staff abide by the school mandates and respect the boundaries of students and family, while ensuring the community is receiving the services needed.  </w:t>
      </w:r>
    </w:p>
    <w:p w14:paraId="4D18018B" w14:textId="77777777" w:rsidR="009C0022" w:rsidRDefault="009C0022" w:rsidP="009C0022">
      <w:pPr>
        <w:numPr>
          <w:ilvl w:val="1"/>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Private spacious rooms are offered for individual and family sessions.  Large classrooms, outdoor locations, or virtual options are utilized for workshops, groups, and/or presentations.  </w:t>
      </w:r>
    </w:p>
    <w:p w14:paraId="2CFFFF59" w14:textId="5DAE1197" w:rsidR="009C0022" w:rsidRDefault="009C0022" w:rsidP="009C0022">
      <w:pPr>
        <w:numPr>
          <w:ilvl w:val="1"/>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Telehealth sessions and virtual groups remain an option for participants and families.</w:t>
      </w:r>
    </w:p>
    <w:p w14:paraId="79E5C8BC" w14:textId="56DD9B8A" w:rsidR="001F0618" w:rsidRDefault="001F0618" w:rsidP="009C0022">
      <w:pPr>
        <w:numPr>
          <w:ilvl w:val="1"/>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F</w:t>
      </w:r>
      <w:r w:rsidR="001A0B2A">
        <w:rPr>
          <w:rFonts w:ascii="Arial" w:hAnsi="Arial"/>
          <w:sz w:val="21"/>
        </w:rPr>
        <w:t>ace masks are</w:t>
      </w:r>
      <w:r>
        <w:rPr>
          <w:rFonts w:ascii="Arial" w:hAnsi="Arial"/>
          <w:sz w:val="21"/>
        </w:rPr>
        <w:t xml:space="preserve"> enco</w:t>
      </w:r>
      <w:r w:rsidR="001A0B2A">
        <w:rPr>
          <w:rFonts w:ascii="Arial" w:hAnsi="Arial"/>
          <w:sz w:val="21"/>
        </w:rPr>
        <w:t>uraged when the ability to social distance was limited</w:t>
      </w:r>
      <w:r>
        <w:rPr>
          <w:rFonts w:ascii="Arial" w:hAnsi="Arial"/>
          <w:sz w:val="21"/>
        </w:rPr>
        <w:t>.</w:t>
      </w:r>
    </w:p>
    <w:p w14:paraId="3822A898" w14:textId="44C22F6A" w:rsidR="001F0618" w:rsidRDefault="001F0618" w:rsidP="009C0022">
      <w:pPr>
        <w:numPr>
          <w:ilvl w:val="1"/>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Regular m</w:t>
      </w:r>
      <w:r w:rsidR="001A0B2A">
        <w:rPr>
          <w:rFonts w:ascii="Arial" w:hAnsi="Arial"/>
          <w:sz w:val="21"/>
        </w:rPr>
        <w:t>onitoring of symptom tracking of staff i</w:t>
      </w:r>
      <w:r>
        <w:rPr>
          <w:rFonts w:ascii="Arial" w:hAnsi="Arial"/>
          <w:sz w:val="21"/>
        </w:rPr>
        <w:t>s conducted to ensure early diagnosis and immediate modifications of services should COVID-19 be detected.</w:t>
      </w:r>
    </w:p>
    <w:p w14:paraId="73F3C89A" w14:textId="77777777" w:rsidR="009C0022"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A63C2E4" w14:textId="77777777" w:rsidR="009C0022" w:rsidRPr="00C260AA" w:rsidRDefault="009C0022" w:rsidP="009C0022">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pPr>
      <w:r>
        <w:rPr>
          <w:rFonts w:ascii="Arial" w:eastAsia="Arial" w:hAnsi="Arial" w:cs="Arial"/>
          <w:sz w:val="21"/>
          <w:szCs w:val="21"/>
        </w:rPr>
        <w:t>3</w:t>
      </w:r>
      <w:r w:rsidRPr="00C260AA">
        <w:rPr>
          <w:rFonts w:ascii="Arial" w:eastAsia="Arial" w:hAnsi="Arial" w:cs="Arial"/>
          <w:sz w:val="21"/>
          <w:szCs w:val="21"/>
        </w:rPr>
        <w:t>. Agency will assist eligible participants in submitting applications to applicable Santa Monica Housing programs, including but not limited to: Section 8 and Below Market Housing (BMH) Waitlists, Preserving Our Diversity (POD), and Continuum of Care (CoC) programs.</w:t>
      </w:r>
    </w:p>
    <w:p w14:paraId="103883EA" w14:textId="77777777" w:rsidR="009C0022" w:rsidRPr="00537A86" w:rsidRDefault="009C0022" w:rsidP="009C0022">
      <w:pPr>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CLARE|MATRIX staff are aware and trained on assessing the needs of participants and families in need of assistance programs and offer assistance when applicable.</w:t>
      </w:r>
    </w:p>
    <w:p w14:paraId="63296EBD" w14:textId="1F8CBF32" w:rsidR="009C0022" w:rsidRPr="009C0022" w:rsidRDefault="009C0022" w:rsidP="009C0022">
      <w:pPr>
        <w:pStyle w:val="ListParagraph"/>
        <w:numPr>
          <w:ilvl w:val="0"/>
          <w:numId w:val="12"/>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Arial" w:eastAsia="Arial" w:hAnsi="Arial" w:cs="Arial"/>
          <w:sz w:val="21"/>
          <w:szCs w:val="21"/>
        </w:rPr>
      </w:pPr>
      <w:r w:rsidRPr="00C260AA">
        <w:rPr>
          <w:rFonts w:ascii="Arial" w:hAnsi="Arial" w:cs="Arial"/>
          <w:sz w:val="21"/>
          <w:szCs w:val="21"/>
        </w:rPr>
        <w:t>No participant</w:t>
      </w:r>
      <w:r w:rsidR="009B758F">
        <w:rPr>
          <w:rFonts w:ascii="Arial" w:hAnsi="Arial" w:cs="Arial"/>
          <w:sz w:val="21"/>
          <w:szCs w:val="21"/>
        </w:rPr>
        <w:t>s qualified</w:t>
      </w:r>
      <w:r>
        <w:rPr>
          <w:rFonts w:ascii="Arial" w:hAnsi="Arial" w:cs="Arial"/>
          <w:sz w:val="21"/>
          <w:szCs w:val="21"/>
        </w:rPr>
        <w:t xml:space="preserve"> for these referrals during the current reporting period.</w:t>
      </w:r>
    </w:p>
    <w:p w14:paraId="545011E6" w14:textId="77777777" w:rsidR="009C0022" w:rsidRPr="00C260AA" w:rsidRDefault="009C0022" w:rsidP="009C0022">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left="1080"/>
        <w:jc w:val="both"/>
        <w:rPr>
          <w:rFonts w:ascii="Arial" w:eastAsia="Arial" w:hAnsi="Arial" w:cs="Arial"/>
          <w:sz w:val="21"/>
          <w:szCs w:val="21"/>
        </w:rPr>
      </w:pPr>
    </w:p>
    <w:p w14:paraId="5C07FDEA" w14:textId="77777777" w:rsidR="009C0022" w:rsidRPr="00896F77"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b/>
          <w:bCs/>
          <w:sz w:val="21"/>
        </w:rPr>
      </w:pPr>
      <w:r w:rsidRPr="00896F77">
        <w:rPr>
          <w:rFonts w:ascii="Arial" w:hAnsi="Arial" w:cs="Arial"/>
          <w:b/>
          <w:bCs/>
          <w:sz w:val="21"/>
        </w:rPr>
        <w:t>Youth &amp; Families Agencies:</w:t>
      </w:r>
    </w:p>
    <w:p w14:paraId="39A4E35C" w14:textId="77777777" w:rsidR="009C0022" w:rsidRPr="00896F77"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1"/>
        </w:rPr>
      </w:pPr>
    </w:p>
    <w:p w14:paraId="05B302BD" w14:textId="77777777" w:rsidR="009C0022" w:rsidRPr="00896F77" w:rsidRDefault="009C0022" w:rsidP="009C0022">
      <w:pPr>
        <w:numPr>
          <w:ilvl w:val="0"/>
          <w:numId w:val="1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896F77">
        <w:rPr>
          <w:rFonts w:ascii="Arial" w:hAnsi="Arial" w:cs="Arial"/>
          <w:sz w:val="21"/>
        </w:rPr>
        <w:t>Actively participate in appropriate Santa Monica Cradle to Career (smC2C) collective impact meetings and initiatives, which may include but are not limited to: smC2C work groups, Child, and Youth Resource Teams (CYRT), Early Childhood Task Force, Education Collaborative, and Behavioral Health Work Group.</w:t>
      </w:r>
    </w:p>
    <w:p w14:paraId="3F7CB69F" w14:textId="77777777" w:rsidR="009C0022" w:rsidRPr="00896F77"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2E76C0D0" w14:textId="77777777" w:rsidR="009C0022" w:rsidRPr="00896F77" w:rsidRDefault="009C0022" w:rsidP="009C0022">
      <w:pPr>
        <w:numPr>
          <w:ilvl w:val="0"/>
          <w:numId w:val="1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Pr>
          <w:rFonts w:ascii="Arial" w:hAnsi="Arial" w:cs="Arial"/>
          <w:sz w:val="21"/>
          <w:szCs w:val="21"/>
        </w:rPr>
        <w:t>The Prevention Specialist and/or Director of Prevention Services</w:t>
      </w:r>
      <w:r w:rsidRPr="00896F77">
        <w:rPr>
          <w:rFonts w:ascii="Arial" w:hAnsi="Arial" w:cs="Arial"/>
          <w:sz w:val="21"/>
          <w:szCs w:val="21"/>
        </w:rPr>
        <w:t xml:space="preserve"> regularly attends the smC2C meetings alongside meetings with CYRT and MSST group to help manage cases and provide resources. </w:t>
      </w:r>
    </w:p>
    <w:p w14:paraId="1CCFB73E" w14:textId="77777777" w:rsidR="009C0022" w:rsidRPr="00896F77"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67B58A88" w14:textId="77777777" w:rsidR="009C0022" w:rsidRPr="00896F77" w:rsidRDefault="009C0022" w:rsidP="009C0022">
      <w:pPr>
        <w:numPr>
          <w:ilvl w:val="0"/>
          <w:numId w:val="1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896F77">
        <w:rPr>
          <w:rFonts w:ascii="Arial" w:hAnsi="Arial" w:cs="Arial"/>
          <w:sz w:val="21"/>
        </w:rPr>
        <w:t>Work with the City and the youth and family’s network of care to provide coordinated support to individuals and families that might require agency expertise in the aftermath of a serious community crisis. A community crisis may include a traumatic event or emergency condition that creates distress, hardship, fear, or grief and has a special significance to the community.</w:t>
      </w:r>
    </w:p>
    <w:p w14:paraId="3A906869" w14:textId="77777777" w:rsidR="009C0022" w:rsidRPr="00896F77"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5102584A" w14:textId="77777777" w:rsidR="009C0022" w:rsidRPr="00896F77" w:rsidRDefault="009C0022" w:rsidP="009C0022">
      <w:pPr>
        <w:numPr>
          <w:ilvl w:val="0"/>
          <w:numId w:val="1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896F77">
        <w:rPr>
          <w:rFonts w:ascii="Arial" w:hAnsi="Arial" w:cs="Arial"/>
          <w:sz w:val="21"/>
          <w:szCs w:val="21"/>
        </w:rPr>
        <w:t xml:space="preserve">The Prevention </w:t>
      </w:r>
      <w:r>
        <w:rPr>
          <w:rFonts w:ascii="Arial" w:hAnsi="Arial" w:cs="Arial"/>
          <w:sz w:val="21"/>
          <w:szCs w:val="21"/>
        </w:rPr>
        <w:t>Specialist and/or Director of Prevention Services</w:t>
      </w:r>
      <w:r w:rsidRPr="00896F77">
        <w:rPr>
          <w:rFonts w:ascii="Arial" w:hAnsi="Arial" w:cs="Arial"/>
          <w:sz w:val="21"/>
          <w:szCs w:val="21"/>
        </w:rPr>
        <w:t xml:space="preserve"> regularly attends these community meetings to provide information and resources on the Clarity for</w:t>
      </w:r>
      <w:r>
        <w:rPr>
          <w:rFonts w:ascii="Arial" w:hAnsi="Arial" w:cs="Arial"/>
          <w:sz w:val="21"/>
          <w:szCs w:val="21"/>
        </w:rPr>
        <w:t xml:space="preserve"> Youth Program. The Director of Prevention Services</w:t>
      </w:r>
      <w:r w:rsidRPr="00896F77">
        <w:rPr>
          <w:rFonts w:ascii="Arial" w:hAnsi="Arial" w:cs="Arial"/>
          <w:sz w:val="21"/>
          <w:szCs w:val="21"/>
        </w:rPr>
        <w:t xml:space="preserve"> has also worked to establish new partnerships in the Santa Monica community to further raise awareness on youth substance use concerns. </w:t>
      </w:r>
    </w:p>
    <w:p w14:paraId="6201E80C" w14:textId="77777777" w:rsidR="009C0022" w:rsidRPr="003E7E57"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7E2FF40A" w14:textId="77777777" w:rsidR="009C0022"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1"/>
        </w:rPr>
      </w:pPr>
    </w:p>
    <w:p w14:paraId="10B2221D" w14:textId="77777777" w:rsidR="009C0022" w:rsidRPr="003E7E57"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1"/>
        </w:rPr>
      </w:pPr>
      <w:r w:rsidRPr="003E7E57">
        <w:rPr>
          <w:rFonts w:ascii="Arial" w:hAnsi="Arial" w:cs="Arial"/>
          <w:b/>
          <w:bCs/>
          <w:sz w:val="21"/>
        </w:rPr>
        <w:t>School-Based Mental Health Programs:</w:t>
      </w:r>
    </w:p>
    <w:p w14:paraId="1CD37D64" w14:textId="77777777" w:rsidR="009C0022" w:rsidRPr="002C4D13"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highlight w:val="yellow"/>
        </w:rPr>
      </w:pPr>
    </w:p>
    <w:p w14:paraId="787E2A69" w14:textId="77777777" w:rsidR="009C0022" w:rsidRPr="00337F42" w:rsidRDefault="009C0022" w:rsidP="009C0022">
      <w:pPr>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337F42">
        <w:rPr>
          <w:rFonts w:ascii="Arial" w:hAnsi="Arial" w:cs="Arial"/>
          <w:sz w:val="21"/>
        </w:rPr>
        <w:t>Provide programming 12 months per year, with clearly defined summer activities provided at SMMUSD schools and/or community locations, including number of children and parents served, number of kindergarten assessments and activities during the summer months.</w:t>
      </w:r>
    </w:p>
    <w:p w14:paraId="1B2DEA1E" w14:textId="77777777" w:rsidR="009C0022" w:rsidRPr="00337F42"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4B7B50FF" w14:textId="4C281C82" w:rsidR="009C0022" w:rsidRPr="00337F42" w:rsidRDefault="009C0022" w:rsidP="009C0022">
      <w:pPr>
        <w:numPr>
          <w:ilvl w:val="0"/>
          <w:numId w:val="1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337F42">
        <w:rPr>
          <w:rFonts w:ascii="Arial" w:hAnsi="Arial" w:cs="Arial"/>
          <w:sz w:val="21"/>
          <w:szCs w:val="21"/>
        </w:rPr>
        <w:t>The Clarity for Youth Prevention staff have managed client cases/referrals effectively and have ongoing prevention engagements throughout t</w:t>
      </w:r>
      <w:r w:rsidR="000C593A">
        <w:rPr>
          <w:rFonts w:ascii="Arial" w:hAnsi="Arial" w:cs="Arial"/>
          <w:sz w:val="21"/>
          <w:szCs w:val="21"/>
        </w:rPr>
        <w:t xml:space="preserve">he school year. Activities are planned, </w:t>
      </w:r>
      <w:proofErr w:type="gramStart"/>
      <w:r w:rsidR="000C593A">
        <w:rPr>
          <w:rFonts w:ascii="Arial" w:hAnsi="Arial" w:cs="Arial"/>
          <w:sz w:val="21"/>
          <w:szCs w:val="21"/>
        </w:rPr>
        <w:t>executed</w:t>
      </w:r>
      <w:proofErr w:type="gramEnd"/>
      <w:r w:rsidR="000C593A">
        <w:rPr>
          <w:rFonts w:ascii="Arial" w:hAnsi="Arial" w:cs="Arial"/>
          <w:sz w:val="21"/>
          <w:szCs w:val="21"/>
        </w:rPr>
        <w:t xml:space="preserve"> and tracked internally</w:t>
      </w:r>
      <w:r w:rsidRPr="00337F42">
        <w:rPr>
          <w:rFonts w:ascii="Arial" w:hAnsi="Arial" w:cs="Arial"/>
          <w:sz w:val="21"/>
          <w:szCs w:val="21"/>
        </w:rPr>
        <w:t>.</w:t>
      </w:r>
    </w:p>
    <w:p w14:paraId="54DF2725" w14:textId="77777777" w:rsidR="009C0022" w:rsidRPr="00337F42"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0FED8E7C" w14:textId="77777777" w:rsidR="009C0022" w:rsidRPr="00337F42" w:rsidRDefault="009C0022" w:rsidP="009C0022">
      <w:pPr>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337F42">
        <w:rPr>
          <w:rFonts w:ascii="Arial" w:hAnsi="Arial" w:cs="Arial"/>
          <w:sz w:val="21"/>
        </w:rPr>
        <w:t>Document during intake and report the number of eligible Santa Monica participants seen that have Medi-Cal/DMH funding, Healthy Families, private insurance, or no insurance.</w:t>
      </w:r>
    </w:p>
    <w:p w14:paraId="277FEEEF" w14:textId="18CAD7C0" w:rsidR="009C0022" w:rsidRDefault="009C0022" w:rsidP="009C0022">
      <w:pPr>
        <w:pStyle w:val="ListParagraph"/>
        <w:rPr>
          <w:rFonts w:ascii="Arial" w:hAnsi="Arial" w:cs="Arial"/>
          <w:sz w:val="21"/>
        </w:rPr>
      </w:pPr>
    </w:p>
    <w:p w14:paraId="38C3A54F" w14:textId="77777777" w:rsidR="00765558" w:rsidRPr="00337F42" w:rsidRDefault="00765558" w:rsidP="009C0022">
      <w:pPr>
        <w:pStyle w:val="ListParagraph"/>
        <w:rPr>
          <w:rFonts w:ascii="Arial" w:hAnsi="Arial" w:cs="Arial"/>
          <w:sz w:val="21"/>
        </w:rPr>
      </w:pPr>
    </w:p>
    <w:p w14:paraId="71FE1007" w14:textId="77777777" w:rsidR="009C0022" w:rsidRPr="00337F42" w:rsidRDefault="009C0022" w:rsidP="009C0022">
      <w:pPr>
        <w:numPr>
          <w:ilvl w:val="0"/>
          <w:numId w:val="1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337F42">
        <w:rPr>
          <w:rFonts w:ascii="Arial" w:hAnsi="Arial" w:cs="Arial"/>
          <w:sz w:val="21"/>
          <w:szCs w:val="21"/>
        </w:rPr>
        <w:lastRenderedPageBreak/>
        <w:t>The Clarity for Youth Prevention staff keep track of all program participants</w:t>
      </w:r>
      <w:r>
        <w:rPr>
          <w:rFonts w:ascii="Arial" w:hAnsi="Arial" w:cs="Arial"/>
          <w:sz w:val="21"/>
          <w:szCs w:val="21"/>
        </w:rPr>
        <w:t>’ insurance data via referral forms, client files,</w:t>
      </w:r>
      <w:r w:rsidRPr="00337F42">
        <w:rPr>
          <w:rFonts w:ascii="Arial" w:hAnsi="Arial" w:cs="Arial"/>
          <w:sz w:val="21"/>
          <w:szCs w:val="21"/>
        </w:rPr>
        <w:t xml:space="preserve"> a cloud-based tracking spreadsheet, and an internal client Excel document. </w:t>
      </w:r>
    </w:p>
    <w:p w14:paraId="3AB9C824" w14:textId="77777777" w:rsidR="009C0022" w:rsidRPr="00337F42"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043FE0A1" w14:textId="77777777" w:rsidR="009C0022" w:rsidRPr="00337F42" w:rsidRDefault="009C0022" w:rsidP="009C0022">
      <w:pPr>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337F42">
        <w:rPr>
          <w:rFonts w:ascii="Arial" w:hAnsi="Arial" w:cs="Arial"/>
          <w:sz w:val="21"/>
        </w:rPr>
        <w:t>Set up a year-end review meeting with school principal and/or relevant administrators to discuss 1) number of students seen during the year, 2) year-end accomplishments and challenges, and 3) rosters and goals for the coming year.</w:t>
      </w:r>
    </w:p>
    <w:p w14:paraId="219921E9" w14:textId="77777777" w:rsidR="009C0022" w:rsidRPr="00337F42" w:rsidRDefault="009C0022" w:rsidP="009C0022">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0AB69B93" w14:textId="77777777" w:rsidR="009C0022" w:rsidRPr="00337F42" w:rsidRDefault="009C0022" w:rsidP="009C0022">
      <w:pPr>
        <w:numPr>
          <w:ilvl w:val="0"/>
          <w:numId w:val="1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Pr>
          <w:rFonts w:ascii="Arial" w:hAnsi="Arial" w:cs="Arial"/>
          <w:sz w:val="21"/>
          <w:szCs w:val="21"/>
        </w:rPr>
        <w:t>The Director of Prevention Services</w:t>
      </w:r>
      <w:r w:rsidRPr="00337F42">
        <w:rPr>
          <w:rFonts w:ascii="Arial" w:hAnsi="Arial" w:cs="Arial"/>
          <w:sz w:val="21"/>
          <w:szCs w:val="21"/>
        </w:rPr>
        <w:t xml:space="preserve"> communicates with school administration on a regular basis to provide updates on student service progress</w:t>
      </w:r>
      <w:r>
        <w:rPr>
          <w:rFonts w:ascii="Arial" w:hAnsi="Arial" w:cs="Arial"/>
          <w:sz w:val="21"/>
          <w:szCs w:val="21"/>
        </w:rPr>
        <w:t>. The Director of Prevention Services also communicates</w:t>
      </w:r>
      <w:r w:rsidRPr="00337F42">
        <w:rPr>
          <w:rFonts w:ascii="Arial" w:hAnsi="Arial" w:cs="Arial"/>
          <w:sz w:val="21"/>
          <w:szCs w:val="21"/>
        </w:rPr>
        <w:t xml:space="preserve"> with the school district Mental Health Co</w:t>
      </w:r>
      <w:r>
        <w:rPr>
          <w:rFonts w:ascii="Arial" w:hAnsi="Arial" w:cs="Arial"/>
          <w:sz w:val="21"/>
          <w:szCs w:val="21"/>
        </w:rPr>
        <w:t>ordinator regularly and provide</w:t>
      </w:r>
      <w:r w:rsidRPr="00337F42">
        <w:rPr>
          <w:rFonts w:ascii="Arial" w:hAnsi="Arial" w:cs="Arial"/>
          <w:sz w:val="21"/>
          <w:szCs w:val="21"/>
        </w:rPr>
        <w:t xml:space="preserve">s her with data towards the end of the fiscal year. </w:t>
      </w:r>
    </w:p>
    <w:p w14:paraId="1C3F4FDD" w14:textId="4A2D94EF"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FD11B9" w:rsidRDefault="0062632F" w:rsidP="0062632F">
      <w:pPr>
        <w:jc w:val="both"/>
        <w:rPr>
          <w:rFonts w:ascii="Arial" w:hAnsi="Arial"/>
          <w:sz w:val="22"/>
          <w:szCs w:val="22"/>
        </w:rPr>
      </w:pPr>
      <w:r w:rsidRPr="00287754">
        <w:rPr>
          <w:rFonts w:ascii="Arial" w:hAnsi="Arial" w:hint="eastAsia"/>
          <w:b/>
          <w:sz w:val="22"/>
          <w:szCs w:val="22"/>
          <w:u w:val="single"/>
        </w:rPr>
        <w:lastRenderedPageBreak/>
        <w:t xml:space="preserve">SECTION </w:t>
      </w:r>
      <w:r w:rsidRPr="00287754">
        <w:rPr>
          <w:rFonts w:ascii="Arial" w:hAnsi="Arial"/>
          <w:b/>
          <w:sz w:val="22"/>
          <w:szCs w:val="22"/>
          <w:u w:val="single"/>
        </w:rPr>
        <w:t>V</w:t>
      </w:r>
      <w:r w:rsidRPr="00287754">
        <w:rPr>
          <w:rFonts w:ascii="Arial" w:hAnsi="Arial" w:hint="eastAsia"/>
          <w:b/>
          <w:sz w:val="22"/>
          <w:szCs w:val="22"/>
          <w:u w:val="single"/>
        </w:rPr>
        <w:t xml:space="preserve">I:  </w:t>
      </w:r>
      <w:r w:rsidR="00274947" w:rsidRPr="00287754">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242774E2"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667EA8">
              <w:rPr>
                <w:rFonts w:ascii="Arial" w:hAnsi="Arial"/>
                <w:b/>
                <w:sz w:val="21"/>
                <w:szCs w:val="21"/>
              </w:rPr>
              <w:t>2</w:t>
            </w:r>
            <w:r>
              <w:rPr>
                <w:rFonts w:ascii="Arial" w:hAnsi="Arial"/>
                <w:b/>
                <w:sz w:val="21"/>
                <w:szCs w:val="21"/>
              </w:rPr>
              <w:t>-</w:t>
            </w:r>
            <w:r w:rsidR="00F430E0">
              <w:rPr>
                <w:rFonts w:ascii="Arial" w:hAnsi="Arial"/>
                <w:b/>
                <w:sz w:val="21"/>
                <w:szCs w:val="21"/>
              </w:rPr>
              <w:t>2</w:t>
            </w:r>
            <w:r w:rsidR="00667EA8">
              <w:rPr>
                <w:rFonts w:ascii="Arial" w:hAnsi="Arial"/>
                <w:b/>
                <w:sz w:val="21"/>
                <w:szCs w:val="21"/>
              </w:rPr>
              <w:t>3</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62CCCB62"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6D53B42C" w:rsidR="0062632F" w:rsidRDefault="0062632F" w:rsidP="00F10DDB">
            <w:pPr>
              <w:rPr>
                <w:rFonts w:ascii="Arial" w:hAnsi="Arial"/>
                <w:sz w:val="21"/>
              </w:rPr>
            </w:pPr>
          </w:p>
        </w:tc>
        <w:tc>
          <w:tcPr>
            <w:tcW w:w="1911" w:type="dxa"/>
            <w:vAlign w:val="center"/>
          </w:tcPr>
          <w:p w14:paraId="0CADC2C2" w14:textId="08A61645" w:rsidR="0062632F" w:rsidRDefault="009C0022" w:rsidP="00F10DDB">
            <w:pPr>
              <w:rPr>
                <w:rFonts w:ascii="Arial" w:hAnsi="Arial"/>
                <w:sz w:val="21"/>
              </w:rPr>
            </w:pPr>
            <w:r>
              <w:rPr>
                <w:rFonts w:ascii="Arial" w:hAnsi="Arial"/>
                <w:sz w:val="21"/>
              </w:rPr>
              <w:t>N/A</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77777777" w:rsidR="0062632F" w:rsidRDefault="0062632F" w:rsidP="00F10DDB">
            <w:pPr>
              <w:rPr>
                <w:rFonts w:ascii="Arial" w:hAnsi="Arial"/>
                <w:sz w:val="21"/>
              </w:rPr>
            </w:pPr>
          </w:p>
        </w:tc>
        <w:tc>
          <w:tcPr>
            <w:tcW w:w="1911" w:type="dxa"/>
            <w:vAlign w:val="center"/>
          </w:tcPr>
          <w:p w14:paraId="2A471029" w14:textId="4209BE16" w:rsidR="0062632F" w:rsidRDefault="009C0022" w:rsidP="00F10DDB">
            <w:pPr>
              <w:rPr>
                <w:rFonts w:ascii="Arial" w:hAnsi="Arial"/>
                <w:sz w:val="21"/>
              </w:rPr>
            </w:pPr>
            <w:r>
              <w:rPr>
                <w:rFonts w:ascii="Arial" w:hAnsi="Arial"/>
                <w:sz w:val="21"/>
              </w:rPr>
              <w:t>N/A</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77777777" w:rsidR="0062632F" w:rsidRDefault="0062632F" w:rsidP="00F10DDB">
            <w:pPr>
              <w:rPr>
                <w:rFonts w:ascii="Arial" w:hAnsi="Arial"/>
                <w:sz w:val="21"/>
              </w:rPr>
            </w:pP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0424DD0A" w:rsidR="0062632F" w:rsidRDefault="009C0022" w:rsidP="00F10DDB">
            <w:pPr>
              <w:rPr>
                <w:rFonts w:ascii="Arial" w:hAnsi="Arial"/>
                <w:sz w:val="21"/>
              </w:rPr>
            </w:pPr>
            <w:r>
              <w:rPr>
                <w:rFonts w:ascii="Arial" w:hAnsi="Arial"/>
                <w:sz w:val="21"/>
              </w:rPr>
              <w:t>N/A</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5582491C">
        <w:trPr>
          <w:trHeight w:val="460"/>
          <w:jc w:val="center"/>
        </w:trPr>
        <w:tc>
          <w:tcPr>
            <w:tcW w:w="5949" w:type="dxa"/>
            <w:shd w:val="clear" w:color="auto" w:fill="D9D9D9" w:themeFill="background1" w:themeFillShade="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0A1C4FE2" w14:textId="71EA668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3EA3384B" w14:textId="7264C39C"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5582491C">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F10DDB">
            <w:pPr>
              <w:rPr>
                <w:rFonts w:ascii="Arial" w:hAnsi="Arial"/>
                <w:sz w:val="21"/>
              </w:rPr>
            </w:pPr>
          </w:p>
        </w:tc>
        <w:tc>
          <w:tcPr>
            <w:tcW w:w="1911" w:type="dxa"/>
            <w:vAlign w:val="center"/>
          </w:tcPr>
          <w:p w14:paraId="6B6C2475" w14:textId="77777777" w:rsidR="0062632F" w:rsidRDefault="0062632F" w:rsidP="00F10DDB">
            <w:pPr>
              <w:rPr>
                <w:rFonts w:ascii="Arial" w:hAnsi="Arial"/>
                <w:sz w:val="21"/>
              </w:rPr>
            </w:pPr>
          </w:p>
        </w:tc>
      </w:tr>
      <w:tr w:rsidR="0062632F" w14:paraId="2E650335" w14:textId="77777777" w:rsidTr="5582491C">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themeFill="background1" w:themeFillShade="BF"/>
            <w:vAlign w:val="center"/>
          </w:tcPr>
          <w:p w14:paraId="2E9C33D9" w14:textId="082DA3E9" w:rsidR="0062632F" w:rsidRDefault="0062632F" w:rsidP="2FA166CA">
            <w:pPr>
              <w:rPr>
                <w:rFonts w:ascii="Arial" w:hAnsi="Arial"/>
                <w:sz w:val="21"/>
                <w:szCs w:val="21"/>
              </w:rPr>
            </w:pPr>
          </w:p>
        </w:tc>
        <w:tc>
          <w:tcPr>
            <w:tcW w:w="1911" w:type="dxa"/>
            <w:shd w:val="clear" w:color="auto" w:fill="BFBFBF" w:themeFill="background1" w:themeFillShade="BF"/>
            <w:vAlign w:val="center"/>
          </w:tcPr>
          <w:p w14:paraId="397DE91E" w14:textId="77777777" w:rsidR="0062632F" w:rsidRDefault="0062632F" w:rsidP="00F10DDB">
            <w:pPr>
              <w:rPr>
                <w:rFonts w:ascii="Arial" w:hAnsi="Arial"/>
                <w:sz w:val="21"/>
              </w:rPr>
            </w:pPr>
          </w:p>
        </w:tc>
      </w:tr>
      <w:tr w:rsidR="0062632F" w14:paraId="54E1AAAD" w14:textId="77777777" w:rsidTr="5582491C">
        <w:trPr>
          <w:trHeight w:val="460"/>
          <w:jc w:val="center"/>
        </w:trPr>
        <w:tc>
          <w:tcPr>
            <w:tcW w:w="5949" w:type="dxa"/>
            <w:vAlign w:val="center"/>
          </w:tcPr>
          <w:p w14:paraId="7438E3E3" w14:textId="3ECDB0B7" w:rsidR="0062632F" w:rsidRPr="00331622" w:rsidRDefault="00662D90" w:rsidP="00F10DDB">
            <w:pPr>
              <w:numPr>
                <w:ilvl w:val="1"/>
                <w:numId w:val="7"/>
              </w:numPr>
              <w:rPr>
                <w:rFonts w:ascii="Arial" w:hAnsi="Arial"/>
                <w:b/>
                <w:sz w:val="21"/>
              </w:rPr>
            </w:pPr>
            <w:r>
              <w:rPr>
                <w:rFonts w:ascii="Arial" w:hAnsi="Arial"/>
                <w:b/>
                <w:sz w:val="21"/>
              </w:rPr>
              <w:t>Santa Monica High School</w:t>
            </w:r>
          </w:p>
        </w:tc>
        <w:tc>
          <w:tcPr>
            <w:tcW w:w="1890" w:type="dxa"/>
            <w:vAlign w:val="center"/>
          </w:tcPr>
          <w:p w14:paraId="458B8149" w14:textId="35BA0AA7" w:rsidR="0062632F" w:rsidRDefault="39889754" w:rsidP="06A4256D">
            <w:pPr>
              <w:rPr>
                <w:rFonts w:ascii="Arial" w:hAnsi="Arial"/>
                <w:sz w:val="21"/>
                <w:szCs w:val="21"/>
              </w:rPr>
            </w:pPr>
            <w:r w:rsidRPr="06A4256D">
              <w:rPr>
                <w:rFonts w:ascii="Arial" w:hAnsi="Arial"/>
                <w:sz w:val="21"/>
                <w:szCs w:val="21"/>
              </w:rPr>
              <w:t>10</w:t>
            </w:r>
          </w:p>
        </w:tc>
        <w:tc>
          <w:tcPr>
            <w:tcW w:w="1911" w:type="dxa"/>
            <w:vAlign w:val="center"/>
          </w:tcPr>
          <w:p w14:paraId="13EBB73F" w14:textId="1E64E148" w:rsidR="0062632F" w:rsidRDefault="00662D90" w:rsidP="00F10DDB">
            <w:pPr>
              <w:rPr>
                <w:rFonts w:ascii="Arial" w:hAnsi="Arial"/>
                <w:sz w:val="21"/>
              </w:rPr>
            </w:pPr>
            <w:r>
              <w:rPr>
                <w:rFonts w:ascii="Arial" w:hAnsi="Arial"/>
                <w:sz w:val="21"/>
              </w:rPr>
              <w:t>23</w:t>
            </w:r>
          </w:p>
        </w:tc>
      </w:tr>
      <w:tr w:rsidR="0062632F" w14:paraId="6EA4DD57" w14:textId="77777777" w:rsidTr="5582491C">
        <w:trPr>
          <w:trHeight w:val="460"/>
          <w:jc w:val="center"/>
        </w:trPr>
        <w:tc>
          <w:tcPr>
            <w:tcW w:w="5949" w:type="dxa"/>
            <w:vAlign w:val="center"/>
          </w:tcPr>
          <w:p w14:paraId="705D90ED" w14:textId="0EA73FE2" w:rsidR="0062632F" w:rsidRPr="00331622" w:rsidRDefault="00662D90" w:rsidP="00F10DDB">
            <w:pPr>
              <w:numPr>
                <w:ilvl w:val="1"/>
                <w:numId w:val="7"/>
              </w:numPr>
              <w:rPr>
                <w:rFonts w:ascii="Arial" w:hAnsi="Arial"/>
                <w:b/>
                <w:sz w:val="21"/>
              </w:rPr>
            </w:pPr>
            <w:r>
              <w:rPr>
                <w:rFonts w:ascii="Arial" w:hAnsi="Arial"/>
                <w:b/>
                <w:sz w:val="21"/>
              </w:rPr>
              <w:t>Lincoln Middle School</w:t>
            </w:r>
          </w:p>
        </w:tc>
        <w:tc>
          <w:tcPr>
            <w:tcW w:w="1890" w:type="dxa"/>
            <w:vAlign w:val="center"/>
          </w:tcPr>
          <w:p w14:paraId="508DCB62" w14:textId="7185F243" w:rsidR="0062632F" w:rsidRDefault="64F6C802" w:rsidP="06A4256D">
            <w:pPr>
              <w:rPr>
                <w:rFonts w:ascii="Arial" w:hAnsi="Arial"/>
                <w:sz w:val="21"/>
                <w:szCs w:val="21"/>
              </w:rPr>
            </w:pPr>
            <w:r w:rsidRPr="06A4256D">
              <w:rPr>
                <w:rFonts w:ascii="Arial" w:hAnsi="Arial"/>
                <w:sz w:val="21"/>
                <w:szCs w:val="21"/>
              </w:rPr>
              <w:t>4</w:t>
            </w:r>
          </w:p>
        </w:tc>
        <w:tc>
          <w:tcPr>
            <w:tcW w:w="1911" w:type="dxa"/>
            <w:vAlign w:val="center"/>
          </w:tcPr>
          <w:p w14:paraId="6AC04F08" w14:textId="763E5733" w:rsidR="0062632F" w:rsidRDefault="00662D90" w:rsidP="00F10DDB">
            <w:pPr>
              <w:rPr>
                <w:rFonts w:ascii="Arial" w:hAnsi="Arial"/>
                <w:sz w:val="21"/>
              </w:rPr>
            </w:pPr>
            <w:r>
              <w:rPr>
                <w:rFonts w:ascii="Arial" w:hAnsi="Arial"/>
                <w:sz w:val="21"/>
              </w:rPr>
              <w:t>6</w:t>
            </w:r>
          </w:p>
        </w:tc>
      </w:tr>
      <w:tr w:rsidR="0062632F" w14:paraId="25CD6B47" w14:textId="77777777" w:rsidTr="5582491C">
        <w:trPr>
          <w:trHeight w:val="460"/>
          <w:jc w:val="center"/>
        </w:trPr>
        <w:tc>
          <w:tcPr>
            <w:tcW w:w="5949" w:type="dxa"/>
            <w:vAlign w:val="center"/>
          </w:tcPr>
          <w:p w14:paraId="45CC40FA" w14:textId="7FDD911A" w:rsidR="0062632F" w:rsidRPr="00331622" w:rsidRDefault="00662D90" w:rsidP="00F10DDB">
            <w:pPr>
              <w:numPr>
                <w:ilvl w:val="1"/>
                <w:numId w:val="7"/>
              </w:numPr>
              <w:rPr>
                <w:rFonts w:ascii="Arial" w:hAnsi="Arial"/>
                <w:b/>
                <w:sz w:val="21"/>
              </w:rPr>
            </w:pPr>
            <w:r>
              <w:rPr>
                <w:rFonts w:ascii="Arial" w:hAnsi="Arial"/>
                <w:b/>
                <w:sz w:val="21"/>
              </w:rPr>
              <w:t>John Adams Middle School</w:t>
            </w:r>
          </w:p>
        </w:tc>
        <w:tc>
          <w:tcPr>
            <w:tcW w:w="1890" w:type="dxa"/>
            <w:vAlign w:val="center"/>
          </w:tcPr>
          <w:p w14:paraId="47E57FBA" w14:textId="67ABFCE1" w:rsidR="0062632F" w:rsidRDefault="138BE4B7" w:rsidP="06A4256D">
            <w:pPr>
              <w:rPr>
                <w:rFonts w:ascii="Arial" w:hAnsi="Arial"/>
                <w:sz w:val="21"/>
                <w:szCs w:val="21"/>
              </w:rPr>
            </w:pPr>
            <w:r w:rsidRPr="06A4256D">
              <w:rPr>
                <w:rFonts w:ascii="Arial" w:hAnsi="Arial"/>
                <w:sz w:val="21"/>
                <w:szCs w:val="21"/>
              </w:rPr>
              <w:t>0</w:t>
            </w:r>
          </w:p>
        </w:tc>
        <w:tc>
          <w:tcPr>
            <w:tcW w:w="1911" w:type="dxa"/>
            <w:vAlign w:val="center"/>
          </w:tcPr>
          <w:p w14:paraId="4A61D24B" w14:textId="52323145" w:rsidR="0062632F" w:rsidRDefault="00662D90" w:rsidP="00F10DDB">
            <w:pPr>
              <w:rPr>
                <w:rFonts w:ascii="Arial" w:hAnsi="Arial"/>
                <w:sz w:val="21"/>
              </w:rPr>
            </w:pPr>
            <w:r>
              <w:rPr>
                <w:rFonts w:ascii="Arial" w:hAnsi="Arial"/>
                <w:sz w:val="21"/>
              </w:rPr>
              <w:t>5</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6678E755" w:rsidR="004D669F" w:rsidRDefault="004D669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474F9A98" w14:textId="41B669CA" w:rsidR="004D669F" w:rsidRDefault="004D669F" w:rsidP="004D669F">
      <w:pPr>
        <w:tabs>
          <w:tab w:val="left" w:pos="-720"/>
          <w:tab w:val="left" w:pos="6308"/>
        </w:tabs>
        <w:jc w:val="both"/>
        <w:rPr>
          <w:rFonts w:ascii="Arial" w:hAnsi="Arial"/>
          <w:sz w:val="21"/>
        </w:rPr>
      </w:pPr>
      <w:r>
        <w:rPr>
          <w:rFonts w:ascii="Arial" w:hAnsi="Arial"/>
          <w:sz w:val="21"/>
        </w:rPr>
        <w:tab/>
      </w:r>
    </w:p>
    <w:p w14:paraId="0EBB93F0"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sidRPr="004D669F">
        <w:rPr>
          <w:rFonts w:ascii="Arial" w:hAnsi="Arial"/>
          <w:sz w:val="21"/>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9BABF7D" w14:textId="63AF0393" w:rsidR="00E554AC"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 xml:space="preserve">For outcome achievement not documented in a report, please provide narrative explanation and/or documentation </w:t>
      </w:r>
      <w:r w:rsidR="004D669F">
        <w:rPr>
          <w:rFonts w:ascii="Arial" w:hAnsi="Arial" w:cs="Arial"/>
          <w:sz w:val="21"/>
        </w:rPr>
        <w:t>of how outcome data is captured.</w:t>
      </w:r>
    </w:p>
    <w:p w14:paraId="6560C5F3" w14:textId="30F8FCC3" w:rsidR="00E554AC" w:rsidRDefault="00E554AC"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5DE61AA5" w14:textId="77777777" w:rsidR="00E554AC" w:rsidRDefault="00E554AC"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08972043" w14:textId="77777777" w:rsidR="00975E84" w:rsidRDefault="00975E84" w:rsidP="00975E84">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2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
        <w:gridCol w:w="1966"/>
        <w:gridCol w:w="1223"/>
        <w:gridCol w:w="2502"/>
        <w:gridCol w:w="1999"/>
        <w:gridCol w:w="1710"/>
        <w:gridCol w:w="990"/>
        <w:gridCol w:w="1440"/>
      </w:tblGrid>
      <w:tr w:rsidR="00975E84" w:rsidRPr="00817E81" w14:paraId="38DEDAA1" w14:textId="77777777" w:rsidTr="00765558">
        <w:trPr>
          <w:trHeight w:val="795"/>
        </w:trPr>
        <w:tc>
          <w:tcPr>
            <w:tcW w:w="312" w:type="dxa"/>
            <w:shd w:val="clear" w:color="auto" w:fill="C0C0C0"/>
            <w:vAlign w:val="center"/>
            <w:hideMark/>
          </w:tcPr>
          <w:p w14:paraId="28BD660F"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b/>
                <w:bCs/>
                <w:color w:val="000000"/>
                <w:szCs w:val="20"/>
              </w:rPr>
              <w:t> </w:t>
            </w:r>
            <w:r w:rsidRPr="00817E81">
              <w:rPr>
                <w:rFonts w:ascii="Arial" w:eastAsia="Times New Roman" w:hAnsi="Arial" w:cs="Arial"/>
                <w:color w:val="000000"/>
                <w:szCs w:val="20"/>
              </w:rPr>
              <w:t>  </w:t>
            </w:r>
          </w:p>
        </w:tc>
        <w:tc>
          <w:tcPr>
            <w:tcW w:w="1966" w:type="dxa"/>
            <w:shd w:val="clear" w:color="auto" w:fill="C0C0C0"/>
            <w:vAlign w:val="center"/>
            <w:hideMark/>
          </w:tcPr>
          <w:p w14:paraId="05011E60"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b/>
                <w:bCs/>
                <w:color w:val="000000"/>
                <w:szCs w:val="20"/>
              </w:rPr>
              <w:t>Service Category/ Program Goal</w:t>
            </w:r>
            <w:r w:rsidRPr="00817E81">
              <w:rPr>
                <w:rFonts w:ascii="Arial" w:eastAsia="Times New Roman" w:hAnsi="Arial" w:cs="Arial"/>
                <w:color w:val="000000"/>
                <w:szCs w:val="20"/>
              </w:rPr>
              <w:t>  </w:t>
            </w:r>
          </w:p>
        </w:tc>
        <w:tc>
          <w:tcPr>
            <w:tcW w:w="1223" w:type="dxa"/>
            <w:shd w:val="clear" w:color="auto" w:fill="C0C0C0"/>
            <w:vAlign w:val="center"/>
            <w:hideMark/>
          </w:tcPr>
          <w:p w14:paraId="16F702F2"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b/>
                <w:bCs/>
                <w:color w:val="000000"/>
                <w:szCs w:val="20"/>
              </w:rPr>
              <w:t>Activity Type</w:t>
            </w:r>
            <w:r w:rsidRPr="00817E81">
              <w:rPr>
                <w:rFonts w:ascii="Arial" w:eastAsia="Times New Roman" w:hAnsi="Arial" w:cs="Arial"/>
                <w:color w:val="000000"/>
                <w:szCs w:val="20"/>
              </w:rPr>
              <w:t>  </w:t>
            </w:r>
          </w:p>
        </w:tc>
        <w:tc>
          <w:tcPr>
            <w:tcW w:w="2502" w:type="dxa"/>
            <w:shd w:val="clear" w:color="auto" w:fill="C0C0C0"/>
            <w:vAlign w:val="center"/>
            <w:hideMark/>
          </w:tcPr>
          <w:p w14:paraId="1D38CEFD"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b/>
                <w:bCs/>
                <w:szCs w:val="20"/>
              </w:rPr>
              <w:t>Activity Description</w:t>
            </w:r>
            <w:r w:rsidRPr="00817E81">
              <w:rPr>
                <w:rFonts w:ascii="Arial" w:eastAsia="Times New Roman" w:hAnsi="Arial" w:cs="Arial"/>
                <w:szCs w:val="20"/>
              </w:rPr>
              <w:t>  </w:t>
            </w:r>
          </w:p>
        </w:tc>
        <w:tc>
          <w:tcPr>
            <w:tcW w:w="1999" w:type="dxa"/>
            <w:shd w:val="clear" w:color="auto" w:fill="C0C0C0"/>
            <w:vAlign w:val="center"/>
            <w:hideMark/>
          </w:tcPr>
          <w:p w14:paraId="276987EB"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b/>
                <w:bCs/>
                <w:szCs w:val="20"/>
              </w:rPr>
              <w:t>Annual Target* </w:t>
            </w:r>
            <w:r w:rsidRPr="00817E81">
              <w:rPr>
                <w:rFonts w:ascii="Arial" w:eastAsia="Times New Roman" w:hAnsi="Arial" w:cs="Arial"/>
                <w:szCs w:val="20"/>
              </w:rPr>
              <w:t>  </w:t>
            </w:r>
          </w:p>
        </w:tc>
        <w:tc>
          <w:tcPr>
            <w:tcW w:w="1710" w:type="dxa"/>
            <w:shd w:val="clear" w:color="auto" w:fill="C0C0C0"/>
          </w:tcPr>
          <w:p w14:paraId="16900B34" w14:textId="77777777" w:rsidR="00975E84" w:rsidRPr="00817E81" w:rsidRDefault="00975E84" w:rsidP="00107C66">
            <w:pPr>
              <w:widowControl/>
              <w:autoSpaceDE/>
              <w:autoSpaceDN/>
              <w:adjustRightInd/>
              <w:jc w:val="center"/>
              <w:textAlignment w:val="baseline"/>
              <w:rPr>
                <w:rFonts w:ascii="Arial" w:eastAsia="Times New Roman" w:hAnsi="Arial" w:cs="Arial"/>
                <w:b/>
                <w:bCs/>
                <w:szCs w:val="20"/>
              </w:rPr>
            </w:pPr>
            <w:r>
              <w:rPr>
                <w:rFonts w:ascii="Arial" w:eastAsia="Times New Roman" w:hAnsi="Arial" w:cs="Arial"/>
                <w:b/>
                <w:bCs/>
                <w:szCs w:val="20"/>
              </w:rPr>
              <w:t>Documentation Method</w:t>
            </w:r>
          </w:p>
        </w:tc>
        <w:tc>
          <w:tcPr>
            <w:tcW w:w="990" w:type="dxa"/>
            <w:shd w:val="clear" w:color="auto" w:fill="C0C0C0"/>
            <w:hideMark/>
          </w:tcPr>
          <w:p w14:paraId="2F0A92A6"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b/>
                <w:bCs/>
                <w:szCs w:val="20"/>
              </w:rPr>
              <w:t>Mid-year Actuals</w:t>
            </w:r>
            <w:r w:rsidRPr="00817E81">
              <w:rPr>
                <w:rFonts w:ascii="Arial" w:eastAsia="Times New Roman" w:hAnsi="Arial" w:cs="Arial"/>
                <w:szCs w:val="20"/>
              </w:rPr>
              <w:t> </w:t>
            </w:r>
          </w:p>
        </w:tc>
        <w:tc>
          <w:tcPr>
            <w:tcW w:w="1440" w:type="dxa"/>
            <w:shd w:val="clear" w:color="auto" w:fill="C0C0C0"/>
          </w:tcPr>
          <w:p w14:paraId="43A8AC18" w14:textId="77777777" w:rsidR="00975E84" w:rsidRDefault="00975E84" w:rsidP="00107C66">
            <w:pPr>
              <w:widowControl/>
              <w:autoSpaceDE/>
              <w:autoSpaceDN/>
              <w:adjustRightInd/>
              <w:jc w:val="center"/>
              <w:textAlignment w:val="baseline"/>
              <w:rPr>
                <w:rFonts w:ascii="Arial" w:eastAsia="Times New Roman" w:hAnsi="Arial" w:cs="Arial"/>
                <w:b/>
                <w:bCs/>
                <w:szCs w:val="20"/>
              </w:rPr>
            </w:pPr>
            <w:r>
              <w:rPr>
                <w:rFonts w:ascii="Arial" w:eastAsia="Times New Roman" w:hAnsi="Arial" w:cs="Arial"/>
                <w:b/>
                <w:bCs/>
                <w:szCs w:val="20"/>
              </w:rPr>
              <w:t>End-Year Status Report</w:t>
            </w:r>
          </w:p>
        </w:tc>
      </w:tr>
      <w:tr w:rsidR="00975E84" w:rsidRPr="00817E81" w14:paraId="7EE6ABEE" w14:textId="77777777" w:rsidTr="00765558">
        <w:trPr>
          <w:trHeight w:val="615"/>
        </w:trPr>
        <w:tc>
          <w:tcPr>
            <w:tcW w:w="312" w:type="dxa"/>
            <w:vMerge w:val="restart"/>
            <w:shd w:val="clear" w:color="auto" w:fill="auto"/>
            <w:vAlign w:val="center"/>
            <w:hideMark/>
          </w:tcPr>
          <w:p w14:paraId="58761805"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1  </w:t>
            </w:r>
          </w:p>
        </w:tc>
        <w:tc>
          <w:tcPr>
            <w:tcW w:w="1966" w:type="dxa"/>
            <w:vMerge w:val="restart"/>
            <w:shd w:val="clear" w:color="auto" w:fill="auto"/>
            <w:vAlign w:val="center"/>
            <w:hideMark/>
          </w:tcPr>
          <w:p w14:paraId="4584673C"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Calibri" w:eastAsia="Times New Roman" w:hAnsi="Calibri" w:cs="Calibri"/>
                <w:sz w:val="22"/>
                <w:szCs w:val="22"/>
              </w:rPr>
              <w:t>  </w:t>
            </w:r>
            <w:r w:rsidRPr="00817E81">
              <w:rPr>
                <w:rFonts w:ascii="Calibri" w:eastAsia="Times New Roman" w:hAnsi="Calibri" w:cs="Calibri"/>
                <w:sz w:val="22"/>
                <w:szCs w:val="22"/>
              </w:rPr>
              <w:br/>
            </w:r>
            <w:r w:rsidRPr="00817E81">
              <w:rPr>
                <w:rFonts w:ascii="Calibri" w:eastAsia="Times New Roman" w:hAnsi="Calibri" w:cs="Calibri"/>
                <w:szCs w:val="20"/>
              </w:rPr>
              <w:t>  </w:t>
            </w:r>
            <w:r w:rsidRPr="00817E81">
              <w:rPr>
                <w:rFonts w:ascii="Calibri" w:eastAsia="Times New Roman" w:hAnsi="Calibri" w:cs="Calibri"/>
                <w:szCs w:val="20"/>
              </w:rPr>
              <w:br/>
            </w:r>
            <w:r w:rsidRPr="00817E81">
              <w:rPr>
                <w:rFonts w:ascii="Arial" w:eastAsia="Times New Roman" w:hAnsi="Arial" w:cs="Arial"/>
                <w:color w:val="000000"/>
                <w:szCs w:val="20"/>
              </w:rPr>
              <w:t>Individual Substance Use Treatment  </w:t>
            </w:r>
          </w:p>
        </w:tc>
        <w:tc>
          <w:tcPr>
            <w:tcW w:w="1223" w:type="dxa"/>
            <w:shd w:val="clear" w:color="auto" w:fill="auto"/>
            <w:vAlign w:val="center"/>
            <w:hideMark/>
          </w:tcPr>
          <w:p w14:paraId="03794676" w14:textId="77777777" w:rsidR="00975E84" w:rsidRPr="00817E81" w:rsidRDefault="00975E84" w:rsidP="00107C66">
            <w:pPr>
              <w:widowControl/>
              <w:autoSpaceDE/>
              <w:autoSpaceDN/>
              <w:adjustRightInd/>
              <w:textAlignment w:val="baseline"/>
              <w:rPr>
                <w:rFonts w:ascii="Segoe UI" w:eastAsia="Times New Roman" w:hAnsi="Segoe UI" w:cs="Segoe UI"/>
                <w:sz w:val="18"/>
                <w:szCs w:val="18"/>
              </w:rPr>
            </w:pPr>
            <w:r w:rsidRPr="00817E81">
              <w:rPr>
                <w:rFonts w:ascii="Arial" w:eastAsia="Times New Roman" w:hAnsi="Arial" w:cs="Arial"/>
                <w:color w:val="000000"/>
                <w:szCs w:val="20"/>
              </w:rPr>
              <w:t>Output  </w:t>
            </w:r>
          </w:p>
        </w:tc>
        <w:tc>
          <w:tcPr>
            <w:tcW w:w="2502" w:type="dxa"/>
            <w:shd w:val="clear" w:color="auto" w:fill="auto"/>
            <w:vAlign w:val="center"/>
            <w:hideMark/>
          </w:tcPr>
          <w:p w14:paraId="5E90D24A"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Participant receives individual substance use services   </w:t>
            </w:r>
          </w:p>
        </w:tc>
        <w:tc>
          <w:tcPr>
            <w:tcW w:w="1999" w:type="dxa"/>
            <w:shd w:val="clear" w:color="auto" w:fill="auto"/>
            <w:vAlign w:val="center"/>
            <w:hideMark/>
          </w:tcPr>
          <w:p w14:paraId="74E04E46"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Pr>
                <w:rFonts w:ascii="Arial" w:eastAsia="Times New Roman" w:hAnsi="Arial" w:cs="Arial"/>
                <w:color w:val="000000"/>
                <w:szCs w:val="20"/>
              </w:rPr>
              <w:t>2</w:t>
            </w:r>
            <w:r w:rsidRPr="00817E81">
              <w:rPr>
                <w:rFonts w:ascii="Arial" w:eastAsia="Times New Roman" w:hAnsi="Arial" w:cs="Arial"/>
                <w:color w:val="000000"/>
                <w:szCs w:val="20"/>
              </w:rPr>
              <w:t>5 SMPP               </w:t>
            </w:r>
          </w:p>
        </w:tc>
        <w:tc>
          <w:tcPr>
            <w:tcW w:w="1710" w:type="dxa"/>
          </w:tcPr>
          <w:p w14:paraId="5C27DB20" w14:textId="77777777" w:rsidR="00975E84" w:rsidRPr="00817E81" w:rsidRDefault="00975E84" w:rsidP="00107C66">
            <w:pPr>
              <w:widowControl/>
              <w:autoSpaceDE/>
              <w:autoSpaceDN/>
              <w:adjustRightInd/>
              <w:jc w:val="center"/>
              <w:textAlignment w:val="baseline"/>
              <w:rPr>
                <w:rFonts w:ascii="Arial" w:eastAsia="Times New Roman" w:hAnsi="Arial" w:cs="Arial"/>
                <w:color w:val="000000"/>
                <w:szCs w:val="20"/>
              </w:rPr>
            </w:pPr>
            <w:r>
              <w:rPr>
                <w:rFonts w:ascii="Arial" w:eastAsia="Times New Roman" w:hAnsi="Arial" w:cs="Arial"/>
                <w:color w:val="000000"/>
                <w:szCs w:val="20"/>
              </w:rPr>
              <w:t>Case File</w:t>
            </w:r>
          </w:p>
        </w:tc>
        <w:tc>
          <w:tcPr>
            <w:tcW w:w="990" w:type="dxa"/>
            <w:shd w:val="clear" w:color="auto" w:fill="auto"/>
            <w:hideMark/>
          </w:tcPr>
          <w:p w14:paraId="000E32AC"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Pr>
                <w:rFonts w:ascii="Arial" w:eastAsia="Times New Roman" w:hAnsi="Arial" w:cs="Arial"/>
                <w:color w:val="000000"/>
                <w:szCs w:val="20"/>
              </w:rPr>
              <w:t>14</w:t>
            </w:r>
            <w:r w:rsidRPr="00817E81">
              <w:rPr>
                <w:rFonts w:ascii="Arial" w:eastAsia="Times New Roman" w:hAnsi="Arial" w:cs="Arial"/>
                <w:color w:val="000000"/>
                <w:szCs w:val="20"/>
              </w:rPr>
              <w:t> </w:t>
            </w:r>
          </w:p>
        </w:tc>
        <w:tc>
          <w:tcPr>
            <w:tcW w:w="1440" w:type="dxa"/>
          </w:tcPr>
          <w:p w14:paraId="665E4375" w14:textId="77777777" w:rsidR="00975E84" w:rsidRPr="004D669F" w:rsidRDefault="00975E84" w:rsidP="00107C66">
            <w:pPr>
              <w:widowControl/>
              <w:autoSpaceDE/>
              <w:autoSpaceDN/>
              <w:adjustRightInd/>
              <w:jc w:val="center"/>
              <w:textAlignment w:val="baseline"/>
              <w:rPr>
                <w:rFonts w:ascii="Arial" w:eastAsia="Times New Roman" w:hAnsi="Arial" w:cs="Arial"/>
                <w:szCs w:val="20"/>
              </w:rPr>
            </w:pPr>
            <w:r w:rsidRPr="004D669F">
              <w:rPr>
                <w:rFonts w:ascii="Arial" w:eastAsia="Times New Roman" w:hAnsi="Arial" w:cs="Arial"/>
                <w:szCs w:val="20"/>
              </w:rPr>
              <w:t>2</w:t>
            </w:r>
            <w:r w:rsidR="007668AF" w:rsidRPr="004D669F">
              <w:rPr>
                <w:rFonts w:ascii="Arial" w:eastAsia="Times New Roman" w:hAnsi="Arial" w:cs="Arial"/>
                <w:szCs w:val="20"/>
              </w:rPr>
              <w:t>9</w:t>
            </w:r>
          </w:p>
          <w:p w14:paraId="3BBA8E02" w14:textId="76E2DCD8" w:rsidR="007668AF" w:rsidRPr="004D669F" w:rsidRDefault="007668AF" w:rsidP="00107C66">
            <w:pPr>
              <w:widowControl/>
              <w:autoSpaceDE/>
              <w:autoSpaceDN/>
              <w:adjustRightInd/>
              <w:jc w:val="center"/>
              <w:textAlignment w:val="baseline"/>
              <w:rPr>
                <w:rFonts w:ascii="Arial" w:eastAsia="Times New Roman" w:hAnsi="Arial" w:cs="Arial"/>
                <w:szCs w:val="20"/>
              </w:rPr>
            </w:pPr>
            <w:r w:rsidRPr="004D669F">
              <w:rPr>
                <w:rFonts w:ascii="Arial" w:eastAsia="Times New Roman" w:hAnsi="Arial" w:cs="Arial"/>
                <w:szCs w:val="20"/>
              </w:rPr>
              <w:t>(10 assessment-only</w:t>
            </w:r>
            <w:r w:rsidR="001A228E" w:rsidRPr="004D669F">
              <w:rPr>
                <w:rFonts w:ascii="Arial" w:eastAsia="Times New Roman" w:hAnsi="Arial" w:cs="Arial"/>
                <w:szCs w:val="20"/>
              </w:rPr>
              <w:t>=39</w:t>
            </w:r>
            <w:r w:rsidRPr="004D669F">
              <w:rPr>
                <w:rFonts w:ascii="Arial" w:eastAsia="Times New Roman" w:hAnsi="Arial" w:cs="Arial"/>
                <w:szCs w:val="20"/>
              </w:rPr>
              <w:t>)</w:t>
            </w:r>
          </w:p>
        </w:tc>
      </w:tr>
      <w:tr w:rsidR="00975E84" w:rsidRPr="00817E81" w14:paraId="456A77BC" w14:textId="77777777" w:rsidTr="00765558">
        <w:trPr>
          <w:trHeight w:val="3245"/>
        </w:trPr>
        <w:tc>
          <w:tcPr>
            <w:tcW w:w="312" w:type="dxa"/>
            <w:vMerge/>
            <w:vAlign w:val="center"/>
            <w:hideMark/>
          </w:tcPr>
          <w:p w14:paraId="725EC2B1" w14:textId="77777777" w:rsidR="00975E84" w:rsidRPr="00817E81" w:rsidRDefault="00975E84" w:rsidP="00107C66">
            <w:pPr>
              <w:widowControl/>
              <w:autoSpaceDE/>
              <w:autoSpaceDN/>
              <w:adjustRightInd/>
              <w:rPr>
                <w:rFonts w:ascii="Segoe UI" w:eastAsia="Times New Roman" w:hAnsi="Segoe UI" w:cs="Segoe UI"/>
                <w:sz w:val="18"/>
                <w:szCs w:val="18"/>
              </w:rPr>
            </w:pPr>
          </w:p>
        </w:tc>
        <w:tc>
          <w:tcPr>
            <w:tcW w:w="0" w:type="auto"/>
            <w:vMerge/>
            <w:vAlign w:val="center"/>
            <w:hideMark/>
          </w:tcPr>
          <w:p w14:paraId="385FFC9C" w14:textId="77777777" w:rsidR="00975E84" w:rsidRPr="00817E81" w:rsidRDefault="00975E84" w:rsidP="00107C66">
            <w:pPr>
              <w:widowControl/>
              <w:autoSpaceDE/>
              <w:autoSpaceDN/>
              <w:adjustRightInd/>
              <w:rPr>
                <w:rFonts w:ascii="Segoe UI" w:eastAsia="Times New Roman" w:hAnsi="Segoe UI" w:cs="Segoe UI"/>
                <w:sz w:val="18"/>
                <w:szCs w:val="18"/>
              </w:rPr>
            </w:pPr>
          </w:p>
        </w:tc>
        <w:tc>
          <w:tcPr>
            <w:tcW w:w="1223" w:type="dxa"/>
            <w:shd w:val="clear" w:color="auto" w:fill="auto"/>
            <w:hideMark/>
          </w:tcPr>
          <w:p w14:paraId="556AAD56" w14:textId="77777777" w:rsidR="00975E84" w:rsidRPr="00817E81" w:rsidRDefault="00975E84" w:rsidP="00107C66">
            <w:pPr>
              <w:widowControl/>
              <w:autoSpaceDE/>
              <w:autoSpaceDN/>
              <w:adjustRightInd/>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78888CB6"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Outcome 1  </w:t>
            </w:r>
          </w:p>
          <w:p w14:paraId="298B2578" w14:textId="77777777" w:rsidR="00975E84" w:rsidRPr="005D6850"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5A29301A" w14:textId="77777777" w:rsidR="00975E84" w:rsidRDefault="00975E84" w:rsidP="00107C66">
            <w:pPr>
              <w:widowControl/>
              <w:autoSpaceDE/>
              <w:autoSpaceDN/>
              <w:adjustRightInd/>
              <w:jc w:val="center"/>
              <w:textAlignment w:val="baseline"/>
              <w:rPr>
                <w:rFonts w:ascii="Arial" w:eastAsia="Times New Roman" w:hAnsi="Arial" w:cs="Arial"/>
                <w:color w:val="000000"/>
                <w:szCs w:val="20"/>
              </w:rPr>
            </w:pPr>
          </w:p>
          <w:p w14:paraId="79274888"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Outcome 2  </w:t>
            </w:r>
          </w:p>
          <w:p w14:paraId="7316899B"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42A9F76B" w14:textId="77777777" w:rsidR="00975E84" w:rsidRDefault="00975E84" w:rsidP="00107C66">
            <w:pPr>
              <w:widowControl/>
              <w:autoSpaceDE/>
              <w:autoSpaceDN/>
              <w:adjustRightInd/>
              <w:textAlignment w:val="baseline"/>
              <w:rPr>
                <w:rFonts w:ascii="Arial" w:eastAsia="Times New Roman" w:hAnsi="Arial" w:cs="Arial"/>
                <w:color w:val="000000"/>
                <w:szCs w:val="20"/>
              </w:rPr>
            </w:pPr>
          </w:p>
          <w:p w14:paraId="0D85A44F" w14:textId="77777777" w:rsidR="00975E84" w:rsidRDefault="00975E84" w:rsidP="00107C66">
            <w:pPr>
              <w:widowControl/>
              <w:autoSpaceDE/>
              <w:autoSpaceDN/>
              <w:adjustRightInd/>
              <w:jc w:val="center"/>
              <w:textAlignment w:val="baseline"/>
              <w:rPr>
                <w:rFonts w:ascii="Arial" w:eastAsia="Times New Roman" w:hAnsi="Arial" w:cs="Arial"/>
                <w:color w:val="000000"/>
                <w:szCs w:val="20"/>
              </w:rPr>
            </w:pPr>
          </w:p>
          <w:p w14:paraId="5AFD1568"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Outcome 3  </w:t>
            </w:r>
          </w:p>
          <w:p w14:paraId="3A2B2527"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243D1200" w14:textId="77777777" w:rsidR="00975E84" w:rsidRPr="005D6850"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55E852C1" w14:textId="77777777" w:rsidR="00975E84" w:rsidRDefault="00975E84" w:rsidP="00107C66">
            <w:pPr>
              <w:widowControl/>
              <w:autoSpaceDE/>
              <w:autoSpaceDN/>
              <w:adjustRightInd/>
              <w:jc w:val="center"/>
              <w:textAlignment w:val="baseline"/>
              <w:rPr>
                <w:rFonts w:ascii="Arial" w:eastAsia="Times New Roman" w:hAnsi="Arial" w:cs="Arial"/>
                <w:color w:val="000000"/>
                <w:szCs w:val="20"/>
              </w:rPr>
            </w:pPr>
          </w:p>
          <w:p w14:paraId="4CBB9E43"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Outcome 4  </w:t>
            </w:r>
          </w:p>
          <w:p w14:paraId="54B35C9C"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tc>
        <w:tc>
          <w:tcPr>
            <w:tcW w:w="2502" w:type="dxa"/>
            <w:shd w:val="clear" w:color="auto" w:fill="auto"/>
            <w:hideMark/>
          </w:tcPr>
          <w:p w14:paraId="7FF4B891" w14:textId="77777777" w:rsidR="00975E84" w:rsidRPr="00817E81" w:rsidRDefault="00975E84" w:rsidP="00107C66">
            <w:pPr>
              <w:widowControl/>
              <w:autoSpaceDE/>
              <w:autoSpaceDN/>
              <w:adjustRightInd/>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6A598218" w14:textId="77777777" w:rsidR="00975E84" w:rsidRPr="0014535D" w:rsidRDefault="00975E84" w:rsidP="00107C66">
            <w:pPr>
              <w:widowControl/>
              <w:autoSpaceDE/>
              <w:autoSpaceDN/>
              <w:adjustRightInd/>
              <w:textAlignment w:val="baseline"/>
              <w:rPr>
                <w:rFonts w:ascii="Segoe UI" w:eastAsia="Times New Roman" w:hAnsi="Segoe UI" w:cs="Segoe UI"/>
                <w:sz w:val="18"/>
                <w:szCs w:val="18"/>
              </w:rPr>
            </w:pPr>
            <w:r w:rsidRPr="0014535D">
              <w:rPr>
                <w:rFonts w:ascii="Arial" w:eastAsia="Times New Roman" w:hAnsi="Arial" w:cs="Arial"/>
                <w:color w:val="000000"/>
                <w:szCs w:val="20"/>
              </w:rPr>
              <w:t>Participant decreases substance use  </w:t>
            </w:r>
          </w:p>
          <w:p w14:paraId="06E0B075" w14:textId="77777777" w:rsidR="00975E84" w:rsidRPr="0014535D" w:rsidRDefault="00975E84" w:rsidP="00107C66">
            <w:pPr>
              <w:widowControl/>
              <w:autoSpaceDE/>
              <w:autoSpaceDN/>
              <w:adjustRightInd/>
              <w:jc w:val="center"/>
              <w:textAlignment w:val="baseline"/>
              <w:rPr>
                <w:rFonts w:ascii="Segoe UI" w:eastAsia="Times New Roman" w:hAnsi="Segoe UI" w:cs="Segoe UI"/>
                <w:sz w:val="18"/>
                <w:szCs w:val="18"/>
              </w:rPr>
            </w:pPr>
            <w:r w:rsidRPr="0014535D">
              <w:rPr>
                <w:rFonts w:ascii="Arial" w:eastAsia="Times New Roman" w:hAnsi="Arial" w:cs="Arial"/>
                <w:color w:val="000000"/>
                <w:szCs w:val="20"/>
              </w:rPr>
              <w:t>  </w:t>
            </w:r>
          </w:p>
          <w:p w14:paraId="74DE34E5" w14:textId="77777777" w:rsidR="00975E84" w:rsidRPr="0014535D" w:rsidRDefault="00975E84" w:rsidP="00107C66">
            <w:pPr>
              <w:widowControl/>
              <w:autoSpaceDE/>
              <w:autoSpaceDN/>
              <w:adjustRightInd/>
              <w:textAlignment w:val="baseline"/>
              <w:rPr>
                <w:rFonts w:ascii="Segoe UI" w:eastAsia="Times New Roman" w:hAnsi="Segoe UI" w:cs="Segoe UI"/>
                <w:sz w:val="18"/>
                <w:szCs w:val="18"/>
              </w:rPr>
            </w:pPr>
            <w:r w:rsidRPr="0014535D">
              <w:rPr>
                <w:rFonts w:ascii="Arial" w:eastAsia="Times New Roman" w:hAnsi="Arial" w:cs="Arial"/>
                <w:color w:val="000000"/>
                <w:szCs w:val="20"/>
              </w:rPr>
              <w:t>Participant will report improved social skills  </w:t>
            </w:r>
          </w:p>
          <w:p w14:paraId="0BA01E78" w14:textId="77777777" w:rsidR="00975E84" w:rsidRPr="0014535D" w:rsidRDefault="00975E84" w:rsidP="00107C66">
            <w:pPr>
              <w:widowControl/>
              <w:autoSpaceDE/>
              <w:autoSpaceDN/>
              <w:adjustRightInd/>
              <w:jc w:val="center"/>
              <w:textAlignment w:val="baseline"/>
              <w:rPr>
                <w:rFonts w:ascii="Segoe UI" w:eastAsia="Times New Roman" w:hAnsi="Segoe UI" w:cs="Segoe UI"/>
                <w:sz w:val="18"/>
                <w:szCs w:val="18"/>
              </w:rPr>
            </w:pPr>
            <w:r w:rsidRPr="0014535D">
              <w:rPr>
                <w:rFonts w:ascii="Arial" w:eastAsia="Times New Roman" w:hAnsi="Arial" w:cs="Arial"/>
                <w:color w:val="000000"/>
                <w:szCs w:val="20"/>
              </w:rPr>
              <w:t>  </w:t>
            </w:r>
          </w:p>
          <w:p w14:paraId="18BD9D04" w14:textId="77777777" w:rsidR="00975E84" w:rsidRPr="0014535D" w:rsidRDefault="00975E84" w:rsidP="00107C66">
            <w:pPr>
              <w:widowControl/>
              <w:autoSpaceDE/>
              <w:autoSpaceDN/>
              <w:adjustRightInd/>
              <w:textAlignment w:val="baseline"/>
              <w:rPr>
                <w:rFonts w:ascii="Segoe UI" w:eastAsia="Times New Roman" w:hAnsi="Segoe UI" w:cs="Segoe UI"/>
                <w:sz w:val="18"/>
                <w:szCs w:val="18"/>
              </w:rPr>
            </w:pPr>
            <w:r w:rsidRPr="0014535D">
              <w:rPr>
                <w:rFonts w:ascii="Arial" w:eastAsia="Times New Roman" w:hAnsi="Arial" w:cs="Arial"/>
                <w:color w:val="000000"/>
                <w:szCs w:val="20"/>
              </w:rPr>
              <w:t xml:space="preserve">Participant will report improved mental health, physical </w:t>
            </w:r>
            <w:proofErr w:type="gramStart"/>
            <w:r w:rsidRPr="0014535D">
              <w:rPr>
                <w:rFonts w:ascii="Arial" w:eastAsia="Times New Roman" w:hAnsi="Arial" w:cs="Arial"/>
                <w:color w:val="000000"/>
                <w:szCs w:val="20"/>
              </w:rPr>
              <w:t>health</w:t>
            </w:r>
            <w:proofErr w:type="gramEnd"/>
            <w:r w:rsidRPr="0014535D">
              <w:rPr>
                <w:rFonts w:ascii="Arial" w:eastAsia="Times New Roman" w:hAnsi="Arial" w:cs="Arial"/>
                <w:color w:val="000000"/>
                <w:szCs w:val="20"/>
              </w:rPr>
              <w:t xml:space="preserve"> and quality of life  </w:t>
            </w:r>
          </w:p>
          <w:p w14:paraId="3D3D5781" w14:textId="77777777" w:rsidR="00975E84" w:rsidRPr="0014535D" w:rsidRDefault="00975E84" w:rsidP="00107C66">
            <w:pPr>
              <w:widowControl/>
              <w:autoSpaceDE/>
              <w:autoSpaceDN/>
              <w:adjustRightInd/>
              <w:jc w:val="center"/>
              <w:textAlignment w:val="baseline"/>
              <w:rPr>
                <w:rFonts w:ascii="Segoe UI" w:eastAsia="Times New Roman" w:hAnsi="Segoe UI" w:cs="Segoe UI"/>
                <w:sz w:val="18"/>
                <w:szCs w:val="18"/>
              </w:rPr>
            </w:pPr>
            <w:r w:rsidRPr="0014535D">
              <w:rPr>
                <w:rFonts w:ascii="Arial" w:eastAsia="Times New Roman" w:hAnsi="Arial" w:cs="Arial"/>
                <w:color w:val="000000"/>
                <w:szCs w:val="20"/>
              </w:rPr>
              <w:t>  </w:t>
            </w:r>
          </w:p>
          <w:p w14:paraId="7552BA6A" w14:textId="77777777" w:rsidR="00975E84" w:rsidRPr="00817E81" w:rsidRDefault="00975E84" w:rsidP="00107C66">
            <w:pPr>
              <w:widowControl/>
              <w:autoSpaceDE/>
              <w:autoSpaceDN/>
              <w:adjustRightInd/>
              <w:textAlignment w:val="baseline"/>
              <w:rPr>
                <w:rFonts w:ascii="Segoe UI" w:eastAsia="Times New Roman" w:hAnsi="Segoe UI" w:cs="Segoe UI"/>
                <w:sz w:val="18"/>
                <w:szCs w:val="18"/>
              </w:rPr>
            </w:pPr>
            <w:r w:rsidRPr="0014535D">
              <w:rPr>
                <w:rFonts w:ascii="Arial" w:eastAsia="Times New Roman" w:hAnsi="Arial" w:cs="Arial"/>
                <w:color w:val="000000"/>
                <w:szCs w:val="20"/>
              </w:rPr>
              <w:t>Participant will report improved relationships in family unit </w:t>
            </w:r>
            <w:r w:rsidRPr="00817E81">
              <w:rPr>
                <w:rFonts w:ascii="Arial" w:eastAsia="Times New Roman" w:hAnsi="Arial" w:cs="Arial"/>
                <w:color w:val="000000"/>
                <w:szCs w:val="20"/>
              </w:rPr>
              <w:t> </w:t>
            </w:r>
          </w:p>
        </w:tc>
        <w:tc>
          <w:tcPr>
            <w:tcW w:w="1999" w:type="dxa"/>
            <w:shd w:val="clear" w:color="auto" w:fill="auto"/>
            <w:hideMark/>
          </w:tcPr>
          <w:p w14:paraId="01C66A73" w14:textId="77777777" w:rsidR="00975E84" w:rsidRPr="00817E81" w:rsidRDefault="00975E84" w:rsidP="00107C66">
            <w:pPr>
              <w:widowControl/>
              <w:autoSpaceDE/>
              <w:autoSpaceDN/>
              <w:adjustRightInd/>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33EE6DA8"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Pr>
                <w:rFonts w:ascii="Arial" w:eastAsia="Times New Roman" w:hAnsi="Arial" w:cs="Arial"/>
                <w:color w:val="000000"/>
                <w:szCs w:val="20"/>
              </w:rPr>
              <w:t> 18/25</w:t>
            </w:r>
            <w:r w:rsidRPr="00817E81">
              <w:rPr>
                <w:rFonts w:ascii="Arial" w:eastAsia="Times New Roman" w:hAnsi="Arial" w:cs="Arial"/>
                <w:color w:val="000000"/>
                <w:szCs w:val="20"/>
              </w:rPr>
              <w:t xml:space="preserve"> (70%) SMPP </w:t>
            </w:r>
          </w:p>
          <w:p w14:paraId="5CF1A27E" w14:textId="77777777" w:rsidR="00975E84" w:rsidRPr="00817E81" w:rsidRDefault="00975E84" w:rsidP="00107C66">
            <w:pPr>
              <w:widowControl/>
              <w:autoSpaceDE/>
              <w:autoSpaceDN/>
              <w:adjustRightInd/>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3CF3B229" w14:textId="77777777" w:rsidR="00975E84" w:rsidRDefault="00975E84" w:rsidP="00107C66">
            <w:pPr>
              <w:widowControl/>
              <w:autoSpaceDE/>
              <w:autoSpaceDN/>
              <w:adjustRightInd/>
              <w:jc w:val="center"/>
              <w:textAlignment w:val="baseline"/>
              <w:rPr>
                <w:rFonts w:ascii="Arial" w:eastAsia="Times New Roman" w:hAnsi="Arial" w:cs="Arial"/>
                <w:color w:val="000000"/>
                <w:szCs w:val="20"/>
              </w:rPr>
            </w:pPr>
          </w:p>
          <w:p w14:paraId="6C06A86E" w14:textId="77777777" w:rsidR="00975E84" w:rsidRDefault="00975E84" w:rsidP="00107C66">
            <w:pPr>
              <w:widowControl/>
              <w:autoSpaceDE/>
              <w:autoSpaceDN/>
              <w:adjustRightInd/>
              <w:jc w:val="center"/>
              <w:textAlignment w:val="baseline"/>
              <w:rPr>
                <w:rFonts w:ascii="Arial" w:eastAsia="Times New Roman" w:hAnsi="Arial" w:cs="Arial"/>
                <w:color w:val="000000"/>
                <w:szCs w:val="20"/>
              </w:rPr>
            </w:pPr>
          </w:p>
          <w:p w14:paraId="5678867C"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Pr>
                <w:rFonts w:ascii="Arial" w:eastAsia="Times New Roman" w:hAnsi="Arial" w:cs="Arial"/>
                <w:color w:val="000000"/>
                <w:szCs w:val="20"/>
              </w:rPr>
              <w:t>18/2</w:t>
            </w:r>
            <w:r w:rsidRPr="00817E81">
              <w:rPr>
                <w:rFonts w:ascii="Arial" w:eastAsia="Times New Roman" w:hAnsi="Arial" w:cs="Arial"/>
                <w:color w:val="000000"/>
                <w:szCs w:val="20"/>
              </w:rPr>
              <w:t>5 (70%) SMPP  </w:t>
            </w:r>
          </w:p>
          <w:p w14:paraId="68CC2D11" w14:textId="77777777" w:rsidR="00975E84" w:rsidRPr="005D6850"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7BE9E633" w14:textId="77777777" w:rsidR="00975E84" w:rsidRDefault="00975E84" w:rsidP="00107C66">
            <w:pPr>
              <w:widowControl/>
              <w:autoSpaceDE/>
              <w:autoSpaceDN/>
              <w:adjustRightInd/>
              <w:jc w:val="center"/>
              <w:textAlignment w:val="baseline"/>
              <w:rPr>
                <w:rFonts w:ascii="Arial" w:eastAsia="Times New Roman" w:hAnsi="Arial" w:cs="Arial"/>
                <w:color w:val="000000"/>
                <w:szCs w:val="20"/>
              </w:rPr>
            </w:pPr>
          </w:p>
          <w:p w14:paraId="57312A7D" w14:textId="77777777" w:rsidR="00975E84" w:rsidRDefault="00975E84" w:rsidP="00107C66">
            <w:pPr>
              <w:widowControl/>
              <w:autoSpaceDE/>
              <w:autoSpaceDN/>
              <w:adjustRightInd/>
              <w:jc w:val="center"/>
              <w:textAlignment w:val="baseline"/>
              <w:rPr>
                <w:rFonts w:ascii="Arial" w:eastAsia="Times New Roman" w:hAnsi="Arial" w:cs="Arial"/>
                <w:color w:val="000000"/>
                <w:szCs w:val="20"/>
              </w:rPr>
            </w:pPr>
          </w:p>
          <w:p w14:paraId="1437CFE9"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Pr>
                <w:rFonts w:ascii="Arial" w:eastAsia="Times New Roman" w:hAnsi="Arial" w:cs="Arial"/>
                <w:color w:val="000000"/>
                <w:szCs w:val="20"/>
              </w:rPr>
              <w:t>18/2</w:t>
            </w:r>
            <w:r w:rsidRPr="00817E81">
              <w:rPr>
                <w:rFonts w:ascii="Arial" w:eastAsia="Times New Roman" w:hAnsi="Arial" w:cs="Arial"/>
                <w:color w:val="000000"/>
                <w:szCs w:val="20"/>
              </w:rPr>
              <w:t>5 (70%) SMPP  </w:t>
            </w:r>
          </w:p>
          <w:p w14:paraId="3C2FD099" w14:textId="77777777" w:rsidR="00975E84" w:rsidRPr="005D6850"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116244D8" w14:textId="77777777" w:rsidR="00975E84" w:rsidRDefault="00975E84" w:rsidP="00107C66">
            <w:pPr>
              <w:widowControl/>
              <w:autoSpaceDE/>
              <w:autoSpaceDN/>
              <w:adjustRightInd/>
              <w:jc w:val="center"/>
              <w:textAlignment w:val="baseline"/>
              <w:rPr>
                <w:rFonts w:ascii="Arial" w:eastAsia="Times New Roman" w:hAnsi="Arial" w:cs="Arial"/>
                <w:color w:val="000000"/>
                <w:szCs w:val="20"/>
              </w:rPr>
            </w:pPr>
          </w:p>
          <w:p w14:paraId="01F7BBFC" w14:textId="77777777" w:rsidR="00975E84" w:rsidRDefault="00975E84" w:rsidP="00107C66">
            <w:pPr>
              <w:widowControl/>
              <w:autoSpaceDE/>
              <w:autoSpaceDN/>
              <w:adjustRightInd/>
              <w:jc w:val="center"/>
              <w:textAlignment w:val="baseline"/>
              <w:rPr>
                <w:rFonts w:ascii="Arial" w:eastAsia="Times New Roman" w:hAnsi="Arial" w:cs="Arial"/>
                <w:color w:val="000000"/>
                <w:szCs w:val="20"/>
              </w:rPr>
            </w:pPr>
          </w:p>
          <w:p w14:paraId="17F357CA"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Pr>
                <w:rFonts w:ascii="Arial" w:eastAsia="Times New Roman" w:hAnsi="Arial" w:cs="Arial"/>
                <w:color w:val="000000"/>
                <w:szCs w:val="20"/>
              </w:rPr>
              <w:t>18/2</w:t>
            </w:r>
            <w:r w:rsidRPr="00817E81">
              <w:rPr>
                <w:rFonts w:ascii="Arial" w:eastAsia="Times New Roman" w:hAnsi="Arial" w:cs="Arial"/>
                <w:color w:val="000000"/>
                <w:szCs w:val="20"/>
              </w:rPr>
              <w:t>5 (70%) SMPP  </w:t>
            </w:r>
          </w:p>
          <w:p w14:paraId="6D7B9E6C"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tc>
        <w:tc>
          <w:tcPr>
            <w:tcW w:w="1710" w:type="dxa"/>
          </w:tcPr>
          <w:p w14:paraId="3A79955D" w14:textId="77777777" w:rsidR="00975E84" w:rsidRPr="00817E81" w:rsidRDefault="00975E84" w:rsidP="00107C66">
            <w:pPr>
              <w:widowControl/>
              <w:autoSpaceDE/>
              <w:autoSpaceDN/>
              <w:adjustRightInd/>
              <w:jc w:val="center"/>
              <w:textAlignment w:val="baseline"/>
              <w:rPr>
                <w:rFonts w:ascii="Arial" w:eastAsia="Times New Roman" w:hAnsi="Arial" w:cs="Arial"/>
                <w:color w:val="000000"/>
                <w:szCs w:val="20"/>
              </w:rPr>
            </w:pPr>
            <w:r w:rsidRPr="00817E81">
              <w:rPr>
                <w:rFonts w:ascii="Arial" w:eastAsia="Times New Roman" w:hAnsi="Arial" w:cs="Arial"/>
                <w:color w:val="000000"/>
                <w:szCs w:val="20"/>
              </w:rPr>
              <w:t>Pre-test and post-test surveys</w:t>
            </w:r>
          </w:p>
        </w:tc>
        <w:tc>
          <w:tcPr>
            <w:tcW w:w="990" w:type="dxa"/>
            <w:shd w:val="clear" w:color="auto" w:fill="auto"/>
            <w:hideMark/>
          </w:tcPr>
          <w:p w14:paraId="6563DBA3"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42EDE7AA" w14:textId="77777777" w:rsidR="00975E84" w:rsidRDefault="00975E84" w:rsidP="00107C66">
            <w:pPr>
              <w:widowControl/>
              <w:autoSpaceDE/>
              <w:autoSpaceDN/>
              <w:adjustRightInd/>
              <w:jc w:val="center"/>
              <w:textAlignment w:val="baseline"/>
              <w:rPr>
                <w:rFonts w:ascii="Arial" w:eastAsia="Times New Roman" w:hAnsi="Arial" w:cs="Arial"/>
                <w:color w:val="000000"/>
                <w:szCs w:val="20"/>
              </w:rPr>
            </w:pPr>
            <w:r>
              <w:rPr>
                <w:rFonts w:ascii="Arial" w:eastAsia="Times New Roman" w:hAnsi="Arial" w:cs="Arial"/>
                <w:color w:val="000000"/>
                <w:szCs w:val="20"/>
              </w:rPr>
              <w:t>4</w:t>
            </w:r>
          </w:p>
          <w:p w14:paraId="3BDD2A5E"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2EAF282C"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10A4F987"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240565D8" w14:textId="77777777" w:rsidR="00975E84" w:rsidRDefault="00975E84" w:rsidP="00107C66">
            <w:pPr>
              <w:widowControl/>
              <w:autoSpaceDE/>
              <w:autoSpaceDN/>
              <w:adjustRightInd/>
              <w:jc w:val="center"/>
              <w:textAlignment w:val="baseline"/>
              <w:rPr>
                <w:rFonts w:ascii="Arial" w:eastAsia="Times New Roman" w:hAnsi="Arial" w:cs="Arial"/>
                <w:color w:val="000000"/>
                <w:szCs w:val="20"/>
              </w:rPr>
            </w:pPr>
            <w:r>
              <w:rPr>
                <w:rFonts w:ascii="Arial" w:eastAsia="Times New Roman" w:hAnsi="Arial" w:cs="Arial"/>
                <w:color w:val="000000"/>
                <w:szCs w:val="20"/>
              </w:rPr>
              <w:t>3</w:t>
            </w:r>
          </w:p>
          <w:p w14:paraId="7E20D2FA" w14:textId="77777777" w:rsidR="00975E84" w:rsidRDefault="00975E84" w:rsidP="00107C66">
            <w:pPr>
              <w:widowControl/>
              <w:autoSpaceDE/>
              <w:autoSpaceDN/>
              <w:adjustRightInd/>
              <w:jc w:val="center"/>
              <w:textAlignment w:val="baseline"/>
              <w:rPr>
                <w:rFonts w:ascii="Arial" w:eastAsia="Times New Roman" w:hAnsi="Arial" w:cs="Arial"/>
                <w:color w:val="000000"/>
                <w:szCs w:val="20"/>
              </w:rPr>
            </w:pPr>
          </w:p>
          <w:p w14:paraId="4C4AB3E9" w14:textId="77777777" w:rsidR="00975E84" w:rsidRDefault="00975E84" w:rsidP="00107C66">
            <w:pPr>
              <w:widowControl/>
              <w:autoSpaceDE/>
              <w:autoSpaceDN/>
              <w:adjustRightInd/>
              <w:jc w:val="center"/>
              <w:textAlignment w:val="baseline"/>
              <w:rPr>
                <w:rFonts w:ascii="Arial" w:eastAsia="Times New Roman" w:hAnsi="Arial" w:cs="Arial"/>
                <w:color w:val="000000"/>
                <w:szCs w:val="20"/>
              </w:rPr>
            </w:pPr>
          </w:p>
          <w:p w14:paraId="68E4CB7B" w14:textId="77777777" w:rsidR="00975E84" w:rsidRDefault="00975E84" w:rsidP="00107C66">
            <w:pPr>
              <w:widowControl/>
              <w:autoSpaceDE/>
              <w:autoSpaceDN/>
              <w:adjustRightInd/>
              <w:jc w:val="center"/>
              <w:textAlignment w:val="baseline"/>
              <w:rPr>
                <w:rFonts w:ascii="Arial" w:eastAsia="Times New Roman" w:hAnsi="Arial" w:cs="Arial"/>
                <w:color w:val="000000"/>
                <w:szCs w:val="20"/>
              </w:rPr>
            </w:pPr>
          </w:p>
          <w:p w14:paraId="2C5F25B8" w14:textId="77777777" w:rsidR="00975E84" w:rsidRPr="009F3BD8" w:rsidRDefault="00975E84" w:rsidP="00107C66">
            <w:pPr>
              <w:widowControl/>
              <w:autoSpaceDE/>
              <w:autoSpaceDN/>
              <w:adjustRightInd/>
              <w:jc w:val="center"/>
              <w:textAlignment w:val="baseline"/>
              <w:rPr>
                <w:rFonts w:ascii="Arial" w:eastAsia="Times New Roman" w:hAnsi="Arial" w:cs="Arial"/>
                <w:color w:val="000000"/>
                <w:szCs w:val="20"/>
              </w:rPr>
            </w:pPr>
            <w:r>
              <w:rPr>
                <w:rFonts w:ascii="Arial" w:eastAsia="Times New Roman" w:hAnsi="Arial" w:cs="Arial"/>
                <w:color w:val="000000"/>
                <w:szCs w:val="20"/>
              </w:rPr>
              <w:t>3</w:t>
            </w:r>
            <w:r w:rsidRPr="00817E81">
              <w:rPr>
                <w:rFonts w:ascii="Arial" w:eastAsia="Times New Roman" w:hAnsi="Arial" w:cs="Arial"/>
                <w:color w:val="000000"/>
                <w:szCs w:val="20"/>
              </w:rPr>
              <w:t> </w:t>
            </w:r>
          </w:p>
          <w:p w14:paraId="5936DD3B"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28D21506"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1E7D52EF"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48E366CD"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r>
              <w:rPr>
                <w:rFonts w:ascii="Arial" w:eastAsia="Times New Roman" w:hAnsi="Arial" w:cs="Arial"/>
                <w:color w:val="000000"/>
                <w:szCs w:val="20"/>
              </w:rPr>
              <w:t>2</w:t>
            </w:r>
          </w:p>
        </w:tc>
        <w:tc>
          <w:tcPr>
            <w:tcW w:w="1440" w:type="dxa"/>
          </w:tcPr>
          <w:p w14:paraId="56EBA75B" w14:textId="77777777" w:rsidR="00975E84" w:rsidRPr="004D669F" w:rsidRDefault="00975E84" w:rsidP="00107C66">
            <w:pPr>
              <w:widowControl/>
              <w:autoSpaceDE/>
              <w:autoSpaceDN/>
              <w:adjustRightInd/>
              <w:jc w:val="center"/>
              <w:textAlignment w:val="baseline"/>
              <w:rPr>
                <w:rFonts w:ascii="Arial" w:eastAsia="Times New Roman" w:hAnsi="Arial" w:cs="Arial"/>
                <w:color w:val="000000"/>
                <w:szCs w:val="20"/>
              </w:rPr>
            </w:pPr>
          </w:p>
          <w:p w14:paraId="29802294" w14:textId="67943495" w:rsidR="00975E84" w:rsidRPr="004D669F" w:rsidRDefault="57D86FA7" w:rsidP="00107C66">
            <w:pPr>
              <w:widowControl/>
              <w:autoSpaceDE/>
              <w:autoSpaceDN/>
              <w:adjustRightInd/>
              <w:jc w:val="center"/>
              <w:textAlignment w:val="baseline"/>
              <w:rPr>
                <w:rFonts w:ascii="Arial" w:eastAsia="Times New Roman" w:hAnsi="Arial" w:cs="Arial"/>
                <w:sz w:val="18"/>
                <w:szCs w:val="18"/>
              </w:rPr>
            </w:pPr>
            <w:r w:rsidRPr="2FA166CA">
              <w:rPr>
                <w:rFonts w:ascii="Arial" w:eastAsia="Times New Roman" w:hAnsi="Arial" w:cs="Arial"/>
                <w:sz w:val="18"/>
                <w:szCs w:val="18"/>
              </w:rPr>
              <w:t>23</w:t>
            </w:r>
            <w:r w:rsidR="517ED22F" w:rsidRPr="2FA166CA">
              <w:rPr>
                <w:rFonts w:ascii="Arial" w:eastAsia="Times New Roman" w:hAnsi="Arial" w:cs="Arial"/>
                <w:sz w:val="18"/>
                <w:szCs w:val="18"/>
              </w:rPr>
              <w:t>/29</w:t>
            </w:r>
          </w:p>
          <w:p w14:paraId="33BB5D69" w14:textId="77777777" w:rsidR="00975E84" w:rsidRPr="004D669F" w:rsidRDefault="00975E84" w:rsidP="00107C66">
            <w:pPr>
              <w:widowControl/>
              <w:autoSpaceDE/>
              <w:autoSpaceDN/>
              <w:adjustRightInd/>
              <w:jc w:val="center"/>
              <w:textAlignment w:val="baseline"/>
              <w:rPr>
                <w:rFonts w:ascii="Arial" w:eastAsia="Times New Roman" w:hAnsi="Arial" w:cs="Arial"/>
                <w:sz w:val="18"/>
                <w:szCs w:val="18"/>
              </w:rPr>
            </w:pPr>
            <w:r w:rsidRPr="004D669F">
              <w:rPr>
                <w:rFonts w:ascii="Arial" w:eastAsia="Times New Roman" w:hAnsi="Arial" w:cs="Arial"/>
                <w:color w:val="000000"/>
                <w:szCs w:val="20"/>
              </w:rPr>
              <w:t> </w:t>
            </w:r>
          </w:p>
          <w:p w14:paraId="35FB5039" w14:textId="77777777" w:rsidR="00975E84" w:rsidRPr="004D669F" w:rsidRDefault="00975E84" w:rsidP="00107C66">
            <w:pPr>
              <w:widowControl/>
              <w:autoSpaceDE/>
              <w:autoSpaceDN/>
              <w:adjustRightInd/>
              <w:jc w:val="center"/>
              <w:textAlignment w:val="baseline"/>
              <w:rPr>
                <w:rFonts w:ascii="Arial" w:eastAsia="Times New Roman" w:hAnsi="Arial" w:cs="Arial"/>
                <w:sz w:val="18"/>
                <w:szCs w:val="18"/>
              </w:rPr>
            </w:pPr>
            <w:r w:rsidRPr="004D669F">
              <w:rPr>
                <w:rFonts w:ascii="Arial" w:eastAsia="Times New Roman" w:hAnsi="Arial" w:cs="Arial"/>
                <w:color w:val="000000"/>
                <w:szCs w:val="20"/>
              </w:rPr>
              <w:t> </w:t>
            </w:r>
          </w:p>
          <w:p w14:paraId="054174B3" w14:textId="77777777" w:rsidR="00975E84" w:rsidRPr="004D669F" w:rsidRDefault="00975E84" w:rsidP="00107C66">
            <w:pPr>
              <w:widowControl/>
              <w:autoSpaceDE/>
              <w:autoSpaceDN/>
              <w:adjustRightInd/>
              <w:textAlignment w:val="baseline"/>
              <w:rPr>
                <w:rFonts w:ascii="Arial" w:eastAsia="Times New Roman" w:hAnsi="Arial" w:cs="Arial"/>
                <w:sz w:val="18"/>
                <w:szCs w:val="18"/>
              </w:rPr>
            </w:pPr>
            <w:r w:rsidRPr="004D669F">
              <w:rPr>
                <w:rFonts w:ascii="Arial" w:eastAsia="Times New Roman" w:hAnsi="Arial" w:cs="Arial"/>
                <w:color w:val="000000"/>
                <w:szCs w:val="20"/>
              </w:rPr>
              <w:t> </w:t>
            </w:r>
          </w:p>
          <w:p w14:paraId="3B26B046" w14:textId="13EE7B84" w:rsidR="00975E84" w:rsidRPr="004D669F" w:rsidRDefault="57D86FA7" w:rsidP="00107C66">
            <w:pPr>
              <w:widowControl/>
              <w:autoSpaceDE/>
              <w:autoSpaceDN/>
              <w:adjustRightInd/>
              <w:jc w:val="center"/>
              <w:textAlignment w:val="baseline"/>
              <w:rPr>
                <w:rFonts w:ascii="Arial" w:eastAsia="Times New Roman" w:hAnsi="Arial" w:cs="Arial"/>
                <w:sz w:val="18"/>
                <w:szCs w:val="18"/>
              </w:rPr>
            </w:pPr>
            <w:r w:rsidRPr="2FA166CA">
              <w:rPr>
                <w:rFonts w:ascii="Arial" w:eastAsia="Times New Roman" w:hAnsi="Arial" w:cs="Arial"/>
                <w:color w:val="000000" w:themeColor="text1"/>
                <w:sz w:val="18"/>
                <w:szCs w:val="18"/>
              </w:rPr>
              <w:t>19</w:t>
            </w:r>
            <w:r w:rsidR="6C185DD5" w:rsidRPr="2FA166CA">
              <w:rPr>
                <w:rFonts w:ascii="Arial" w:eastAsia="Times New Roman" w:hAnsi="Arial" w:cs="Arial"/>
                <w:color w:val="000000" w:themeColor="text1"/>
                <w:sz w:val="18"/>
                <w:szCs w:val="18"/>
              </w:rPr>
              <w:t> </w:t>
            </w:r>
            <w:r w:rsidR="372682E1" w:rsidRPr="2FA166CA">
              <w:rPr>
                <w:rFonts w:ascii="Arial" w:eastAsia="Times New Roman" w:hAnsi="Arial" w:cs="Arial"/>
                <w:color w:val="000000" w:themeColor="text1"/>
                <w:sz w:val="18"/>
                <w:szCs w:val="18"/>
              </w:rPr>
              <w:t>/29</w:t>
            </w:r>
          </w:p>
          <w:p w14:paraId="56453E93" w14:textId="77777777" w:rsidR="00975E84" w:rsidRPr="004D669F" w:rsidRDefault="00975E84" w:rsidP="00107C66">
            <w:pPr>
              <w:widowControl/>
              <w:autoSpaceDE/>
              <w:autoSpaceDN/>
              <w:adjustRightInd/>
              <w:jc w:val="center"/>
              <w:textAlignment w:val="baseline"/>
              <w:rPr>
                <w:rFonts w:ascii="Arial" w:eastAsia="Times New Roman" w:hAnsi="Arial" w:cs="Arial"/>
                <w:sz w:val="18"/>
                <w:szCs w:val="18"/>
              </w:rPr>
            </w:pPr>
            <w:r w:rsidRPr="004D669F">
              <w:rPr>
                <w:rFonts w:ascii="Arial" w:eastAsia="Times New Roman" w:hAnsi="Arial" w:cs="Arial"/>
                <w:color w:val="000000"/>
                <w:szCs w:val="20"/>
              </w:rPr>
              <w:t> </w:t>
            </w:r>
          </w:p>
          <w:p w14:paraId="397E82BE" w14:textId="0C00D2F1" w:rsidR="00D5096E" w:rsidRPr="004D669F" w:rsidRDefault="00D5096E" w:rsidP="00107C66">
            <w:pPr>
              <w:widowControl/>
              <w:autoSpaceDE/>
              <w:autoSpaceDN/>
              <w:adjustRightInd/>
              <w:textAlignment w:val="baseline"/>
              <w:rPr>
                <w:rFonts w:ascii="Arial" w:eastAsia="Times New Roman" w:hAnsi="Arial" w:cs="Arial"/>
                <w:sz w:val="18"/>
                <w:szCs w:val="18"/>
              </w:rPr>
            </w:pPr>
          </w:p>
          <w:p w14:paraId="16A92E70" w14:textId="6CFACF40" w:rsidR="00D5096E" w:rsidRPr="004D669F" w:rsidRDefault="00D5096E" w:rsidP="00D5096E">
            <w:pPr>
              <w:rPr>
                <w:rFonts w:ascii="Arial" w:eastAsia="Times New Roman" w:hAnsi="Arial" w:cs="Arial"/>
                <w:sz w:val="18"/>
                <w:szCs w:val="18"/>
              </w:rPr>
            </w:pPr>
          </w:p>
          <w:p w14:paraId="6CEDC402" w14:textId="4D81CB57" w:rsidR="00D5096E" w:rsidRPr="004D669F" w:rsidRDefault="4B8013E0" w:rsidP="00D5096E">
            <w:pPr>
              <w:jc w:val="center"/>
              <w:rPr>
                <w:rFonts w:ascii="Arial" w:eastAsia="Times New Roman" w:hAnsi="Arial" w:cs="Arial"/>
                <w:sz w:val="18"/>
                <w:szCs w:val="18"/>
              </w:rPr>
            </w:pPr>
            <w:r w:rsidRPr="2FA166CA">
              <w:rPr>
                <w:rFonts w:ascii="Arial" w:eastAsia="Times New Roman" w:hAnsi="Arial" w:cs="Arial"/>
                <w:sz w:val="18"/>
                <w:szCs w:val="18"/>
              </w:rPr>
              <w:t>20</w:t>
            </w:r>
            <w:r w:rsidR="56982E77" w:rsidRPr="2FA166CA">
              <w:rPr>
                <w:rFonts w:ascii="Arial" w:eastAsia="Times New Roman" w:hAnsi="Arial" w:cs="Arial"/>
                <w:sz w:val="18"/>
                <w:szCs w:val="18"/>
              </w:rPr>
              <w:t>/29</w:t>
            </w:r>
          </w:p>
          <w:p w14:paraId="1A7AA8DE" w14:textId="77777777" w:rsidR="00D5096E" w:rsidRPr="004D669F" w:rsidRDefault="00D5096E" w:rsidP="00D5096E">
            <w:pPr>
              <w:rPr>
                <w:rFonts w:ascii="Arial" w:eastAsia="Times New Roman" w:hAnsi="Arial" w:cs="Arial"/>
                <w:sz w:val="18"/>
                <w:szCs w:val="18"/>
              </w:rPr>
            </w:pPr>
          </w:p>
          <w:p w14:paraId="7EB9AAFC" w14:textId="77777777" w:rsidR="00D5096E" w:rsidRPr="004D669F" w:rsidRDefault="00D5096E" w:rsidP="00D5096E">
            <w:pPr>
              <w:rPr>
                <w:rFonts w:ascii="Arial" w:eastAsia="Times New Roman" w:hAnsi="Arial" w:cs="Arial"/>
                <w:sz w:val="18"/>
                <w:szCs w:val="18"/>
              </w:rPr>
            </w:pPr>
          </w:p>
          <w:p w14:paraId="3748E66D" w14:textId="15D77A58" w:rsidR="00D5096E" w:rsidRPr="004D669F" w:rsidRDefault="00D5096E" w:rsidP="00D5096E">
            <w:pPr>
              <w:rPr>
                <w:rFonts w:ascii="Arial" w:eastAsia="Times New Roman" w:hAnsi="Arial" w:cs="Arial"/>
                <w:sz w:val="18"/>
                <w:szCs w:val="18"/>
              </w:rPr>
            </w:pPr>
          </w:p>
          <w:p w14:paraId="067D3C31" w14:textId="50686E57" w:rsidR="00975E84" w:rsidRPr="004D669F" w:rsidRDefault="041E75B5" w:rsidP="00D5096E">
            <w:pPr>
              <w:jc w:val="center"/>
              <w:rPr>
                <w:rFonts w:ascii="Arial" w:eastAsia="Times New Roman" w:hAnsi="Arial" w:cs="Arial"/>
                <w:sz w:val="18"/>
                <w:szCs w:val="18"/>
              </w:rPr>
            </w:pPr>
            <w:r w:rsidRPr="2FA166CA">
              <w:rPr>
                <w:rFonts w:ascii="Arial" w:eastAsia="Times New Roman" w:hAnsi="Arial" w:cs="Arial"/>
                <w:sz w:val="18"/>
                <w:szCs w:val="18"/>
              </w:rPr>
              <w:t>1</w:t>
            </w:r>
            <w:r w:rsidR="4B8013E0" w:rsidRPr="2FA166CA">
              <w:rPr>
                <w:rFonts w:ascii="Arial" w:eastAsia="Times New Roman" w:hAnsi="Arial" w:cs="Arial"/>
                <w:sz w:val="18"/>
                <w:szCs w:val="18"/>
              </w:rPr>
              <w:t>8</w:t>
            </w:r>
            <w:r w:rsidR="692BD4CF" w:rsidRPr="2FA166CA">
              <w:rPr>
                <w:rFonts w:ascii="Arial" w:eastAsia="Times New Roman" w:hAnsi="Arial" w:cs="Arial"/>
                <w:sz w:val="18"/>
                <w:szCs w:val="18"/>
              </w:rPr>
              <w:t>/29</w:t>
            </w:r>
          </w:p>
        </w:tc>
      </w:tr>
      <w:tr w:rsidR="00975E84" w:rsidRPr="00817E81" w14:paraId="17E2C3E9" w14:textId="77777777" w:rsidTr="00765558">
        <w:trPr>
          <w:trHeight w:val="615"/>
        </w:trPr>
        <w:tc>
          <w:tcPr>
            <w:tcW w:w="312" w:type="dxa"/>
            <w:vMerge w:val="restart"/>
            <w:shd w:val="clear" w:color="auto" w:fill="auto"/>
            <w:vAlign w:val="center"/>
            <w:hideMark/>
          </w:tcPr>
          <w:p w14:paraId="2080306E"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2  </w:t>
            </w:r>
          </w:p>
        </w:tc>
        <w:tc>
          <w:tcPr>
            <w:tcW w:w="1966" w:type="dxa"/>
            <w:vMerge w:val="restart"/>
            <w:shd w:val="clear" w:color="auto" w:fill="auto"/>
            <w:vAlign w:val="center"/>
            <w:hideMark/>
          </w:tcPr>
          <w:p w14:paraId="70CEAA39"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Calibri" w:eastAsia="Times New Roman" w:hAnsi="Calibri" w:cs="Calibri"/>
                <w:szCs w:val="20"/>
              </w:rPr>
              <w:t>  </w:t>
            </w:r>
            <w:r w:rsidRPr="00817E81">
              <w:rPr>
                <w:rFonts w:ascii="Calibri" w:eastAsia="Times New Roman" w:hAnsi="Calibri" w:cs="Calibri"/>
                <w:szCs w:val="20"/>
              </w:rPr>
              <w:br/>
            </w:r>
            <w:r w:rsidRPr="00817E81">
              <w:rPr>
                <w:rFonts w:ascii="Arial" w:eastAsia="Times New Roman" w:hAnsi="Arial" w:cs="Arial"/>
                <w:color w:val="000000"/>
                <w:szCs w:val="20"/>
              </w:rPr>
              <w:t>Life</w:t>
            </w:r>
            <w:r>
              <w:rPr>
                <w:rFonts w:ascii="Arial" w:eastAsia="Times New Roman" w:hAnsi="Arial" w:cs="Arial"/>
                <w:color w:val="000000"/>
                <w:szCs w:val="20"/>
              </w:rPr>
              <w:t xml:space="preserve"> Skills Training/</w:t>
            </w:r>
            <w:r w:rsidRPr="00817E81">
              <w:rPr>
                <w:rFonts w:ascii="Arial" w:eastAsia="Times New Roman" w:hAnsi="Arial" w:cs="Arial"/>
                <w:color w:val="000000"/>
                <w:szCs w:val="20"/>
              </w:rPr>
              <w:t> </w:t>
            </w:r>
          </w:p>
        </w:tc>
        <w:tc>
          <w:tcPr>
            <w:tcW w:w="1223" w:type="dxa"/>
            <w:shd w:val="clear" w:color="auto" w:fill="auto"/>
            <w:vAlign w:val="center"/>
            <w:hideMark/>
          </w:tcPr>
          <w:p w14:paraId="43654ABD" w14:textId="3DFFA053" w:rsidR="00975E84" w:rsidRPr="00817E81" w:rsidRDefault="00975E84" w:rsidP="783A8DBC">
            <w:pPr>
              <w:widowControl/>
              <w:autoSpaceDE/>
              <w:autoSpaceDN/>
              <w:adjustRightInd/>
              <w:jc w:val="center"/>
              <w:textAlignment w:val="baseline"/>
              <w:rPr>
                <w:rFonts w:ascii="Arial" w:eastAsia="Times New Roman" w:hAnsi="Arial" w:cs="Arial"/>
                <w:color w:val="000000" w:themeColor="text1"/>
              </w:rPr>
            </w:pPr>
          </w:p>
        </w:tc>
        <w:tc>
          <w:tcPr>
            <w:tcW w:w="2502" w:type="dxa"/>
            <w:shd w:val="clear" w:color="auto" w:fill="auto"/>
            <w:vAlign w:val="center"/>
            <w:hideMark/>
          </w:tcPr>
          <w:p w14:paraId="1FF0FC38" w14:textId="0E19F5B5" w:rsidR="00975E84" w:rsidRPr="00817E81" w:rsidRDefault="00975E84" w:rsidP="783A8DBC">
            <w:pPr>
              <w:widowControl/>
              <w:autoSpaceDE/>
              <w:autoSpaceDN/>
              <w:adjustRightInd/>
              <w:jc w:val="center"/>
              <w:textAlignment w:val="baseline"/>
              <w:rPr>
                <w:rFonts w:ascii="Arial" w:eastAsia="Times New Roman" w:hAnsi="Arial" w:cs="Arial"/>
                <w:color w:val="000000" w:themeColor="text1"/>
              </w:rPr>
            </w:pPr>
          </w:p>
        </w:tc>
        <w:tc>
          <w:tcPr>
            <w:tcW w:w="1999" w:type="dxa"/>
            <w:shd w:val="clear" w:color="auto" w:fill="auto"/>
            <w:vAlign w:val="center"/>
            <w:hideMark/>
          </w:tcPr>
          <w:p w14:paraId="7B08B5B9" w14:textId="17D258D9" w:rsidR="00975E84" w:rsidRPr="00817E81" w:rsidRDefault="00975E84" w:rsidP="783A8DBC">
            <w:pPr>
              <w:widowControl/>
              <w:autoSpaceDE/>
              <w:autoSpaceDN/>
              <w:adjustRightInd/>
              <w:jc w:val="center"/>
              <w:textAlignment w:val="baseline"/>
              <w:rPr>
                <w:rFonts w:ascii="Arial" w:eastAsia="Times New Roman" w:hAnsi="Arial" w:cs="Arial"/>
                <w:color w:val="000000" w:themeColor="text1"/>
              </w:rPr>
            </w:pPr>
          </w:p>
        </w:tc>
        <w:tc>
          <w:tcPr>
            <w:tcW w:w="1710" w:type="dxa"/>
          </w:tcPr>
          <w:p w14:paraId="1830820E" w14:textId="0537AFDE" w:rsidR="00975E84" w:rsidRPr="00817E81" w:rsidRDefault="00975E84" w:rsidP="783A8DBC">
            <w:pPr>
              <w:widowControl/>
              <w:autoSpaceDE/>
              <w:autoSpaceDN/>
              <w:adjustRightInd/>
              <w:jc w:val="center"/>
              <w:textAlignment w:val="baseline"/>
              <w:rPr>
                <w:rFonts w:ascii="Arial" w:eastAsia="Times New Roman" w:hAnsi="Arial" w:cs="Arial"/>
                <w:color w:val="000000"/>
              </w:rPr>
            </w:pPr>
          </w:p>
        </w:tc>
        <w:tc>
          <w:tcPr>
            <w:tcW w:w="990" w:type="dxa"/>
            <w:shd w:val="clear" w:color="auto" w:fill="auto"/>
            <w:hideMark/>
          </w:tcPr>
          <w:p w14:paraId="6FAC3F08" w14:textId="2F6D72AF" w:rsidR="00975E84" w:rsidRPr="004D669F" w:rsidRDefault="00975E84" w:rsidP="783A8DBC">
            <w:pPr>
              <w:widowControl/>
              <w:autoSpaceDE/>
              <w:autoSpaceDN/>
              <w:adjustRightInd/>
              <w:jc w:val="center"/>
              <w:textAlignment w:val="baseline"/>
              <w:rPr>
                <w:rFonts w:ascii="Arial" w:eastAsia="Times New Roman" w:hAnsi="Arial" w:cs="Arial"/>
                <w:color w:val="000000" w:themeColor="text1"/>
              </w:rPr>
            </w:pPr>
          </w:p>
        </w:tc>
        <w:tc>
          <w:tcPr>
            <w:tcW w:w="1440" w:type="dxa"/>
          </w:tcPr>
          <w:p w14:paraId="622A9D55" w14:textId="5B18A3B2" w:rsidR="00975E84" w:rsidRPr="004D669F" w:rsidRDefault="00975E84" w:rsidP="00107C66">
            <w:pPr>
              <w:widowControl/>
              <w:autoSpaceDE/>
              <w:autoSpaceDN/>
              <w:adjustRightInd/>
              <w:jc w:val="center"/>
              <w:textAlignment w:val="baseline"/>
              <w:rPr>
                <w:rFonts w:ascii="Arial" w:eastAsia="Times New Roman" w:hAnsi="Arial" w:cs="Arial"/>
                <w:sz w:val="18"/>
                <w:szCs w:val="18"/>
              </w:rPr>
            </w:pPr>
          </w:p>
        </w:tc>
      </w:tr>
      <w:tr w:rsidR="00975E84" w:rsidRPr="00817E81" w14:paraId="75F6AB9B" w14:textId="77777777" w:rsidTr="00765558">
        <w:trPr>
          <w:trHeight w:val="885"/>
        </w:trPr>
        <w:tc>
          <w:tcPr>
            <w:tcW w:w="312" w:type="dxa"/>
            <w:vMerge/>
            <w:vAlign w:val="center"/>
            <w:hideMark/>
          </w:tcPr>
          <w:p w14:paraId="7182890C" w14:textId="77777777" w:rsidR="00975E84" w:rsidRPr="00817E81" w:rsidRDefault="00975E84" w:rsidP="00107C66">
            <w:pPr>
              <w:widowControl/>
              <w:autoSpaceDE/>
              <w:autoSpaceDN/>
              <w:adjustRightInd/>
              <w:rPr>
                <w:rFonts w:ascii="Segoe UI" w:eastAsia="Times New Roman" w:hAnsi="Segoe UI" w:cs="Segoe UI"/>
                <w:sz w:val="18"/>
                <w:szCs w:val="18"/>
              </w:rPr>
            </w:pPr>
          </w:p>
        </w:tc>
        <w:tc>
          <w:tcPr>
            <w:tcW w:w="0" w:type="auto"/>
            <w:vMerge/>
            <w:vAlign w:val="center"/>
            <w:hideMark/>
          </w:tcPr>
          <w:p w14:paraId="37D09589" w14:textId="77777777" w:rsidR="00975E84" w:rsidRPr="00817E81" w:rsidRDefault="00975E84" w:rsidP="00107C66">
            <w:pPr>
              <w:widowControl/>
              <w:autoSpaceDE/>
              <w:autoSpaceDN/>
              <w:adjustRightInd/>
              <w:rPr>
                <w:rFonts w:ascii="Segoe UI" w:eastAsia="Times New Roman" w:hAnsi="Segoe UI" w:cs="Segoe UI"/>
                <w:sz w:val="18"/>
                <w:szCs w:val="18"/>
              </w:rPr>
            </w:pPr>
          </w:p>
        </w:tc>
        <w:tc>
          <w:tcPr>
            <w:tcW w:w="1223" w:type="dxa"/>
            <w:shd w:val="clear" w:color="auto" w:fill="auto"/>
            <w:vAlign w:val="center"/>
            <w:hideMark/>
          </w:tcPr>
          <w:p w14:paraId="58056C21"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Outcome  </w:t>
            </w:r>
          </w:p>
        </w:tc>
        <w:tc>
          <w:tcPr>
            <w:tcW w:w="2502" w:type="dxa"/>
            <w:shd w:val="clear" w:color="auto" w:fill="auto"/>
            <w:vAlign w:val="center"/>
            <w:hideMark/>
          </w:tcPr>
          <w:p w14:paraId="63121324"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szCs w:val="20"/>
              </w:rPr>
              <w:t xml:space="preserve">Life Skills Training curriculum presented in the form of in-class and after-school group education/prevention sessions (offered to referred/counseled students) on the impacts of addiction on the adolescent </w:t>
            </w:r>
            <w:r w:rsidRPr="00817E81">
              <w:rPr>
                <w:rFonts w:ascii="Arial" w:eastAsia="Times New Roman" w:hAnsi="Arial" w:cs="Arial"/>
                <w:szCs w:val="20"/>
              </w:rPr>
              <w:lastRenderedPageBreak/>
              <w:t>brain, and harm reduction. Four out of the 8 workshops will utilize youth MATRIX content and will be facilitated by our counselors in conjunction with our existing Life Skills Training curriculum  </w:t>
            </w:r>
          </w:p>
        </w:tc>
        <w:tc>
          <w:tcPr>
            <w:tcW w:w="1999" w:type="dxa"/>
            <w:shd w:val="clear" w:color="auto" w:fill="auto"/>
            <w:vAlign w:val="center"/>
            <w:hideMark/>
          </w:tcPr>
          <w:p w14:paraId="47752E29" w14:textId="47FE55B2" w:rsidR="00975E84" w:rsidRPr="00817E81" w:rsidRDefault="0FC6683E" w:rsidP="00107C66">
            <w:pPr>
              <w:widowControl/>
              <w:autoSpaceDE/>
              <w:autoSpaceDN/>
              <w:adjustRightInd/>
              <w:jc w:val="center"/>
              <w:textAlignment w:val="baseline"/>
              <w:rPr>
                <w:rFonts w:ascii="Segoe UI" w:eastAsia="Times New Roman" w:hAnsi="Segoe UI" w:cs="Segoe UI"/>
                <w:sz w:val="18"/>
                <w:szCs w:val="18"/>
              </w:rPr>
            </w:pPr>
            <w:r w:rsidRPr="2FA166CA">
              <w:rPr>
                <w:rFonts w:ascii="Arial" w:eastAsia="Times New Roman" w:hAnsi="Arial" w:cs="Arial"/>
                <w:color w:val="000000" w:themeColor="text1"/>
              </w:rPr>
              <w:lastRenderedPageBreak/>
              <w:t>17/25</w:t>
            </w:r>
            <w:r w:rsidR="6C185DD5" w:rsidRPr="2FA166CA">
              <w:rPr>
                <w:rFonts w:ascii="Arial" w:eastAsia="Times New Roman" w:hAnsi="Arial" w:cs="Arial"/>
                <w:color w:val="000000" w:themeColor="text1"/>
              </w:rPr>
              <w:t xml:space="preserve"> (70%) SMPP  </w:t>
            </w:r>
          </w:p>
        </w:tc>
        <w:tc>
          <w:tcPr>
            <w:tcW w:w="1710" w:type="dxa"/>
          </w:tcPr>
          <w:p w14:paraId="7578ABD0" w14:textId="77777777" w:rsidR="00975E84" w:rsidRPr="00817E81" w:rsidRDefault="00975E84"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Pre-test and post-test surveys  </w:t>
            </w:r>
          </w:p>
          <w:p w14:paraId="3164515C" w14:textId="77777777" w:rsidR="00975E84" w:rsidRPr="00817E81" w:rsidRDefault="00975E84" w:rsidP="00107C66">
            <w:pPr>
              <w:widowControl/>
              <w:autoSpaceDE/>
              <w:autoSpaceDN/>
              <w:adjustRightInd/>
              <w:jc w:val="center"/>
              <w:textAlignment w:val="baseline"/>
              <w:rPr>
                <w:rFonts w:ascii="Arial" w:eastAsia="Times New Roman" w:hAnsi="Arial" w:cs="Arial"/>
                <w:color w:val="000000"/>
                <w:szCs w:val="20"/>
              </w:rPr>
            </w:pPr>
            <w:r w:rsidRPr="00817E81">
              <w:rPr>
                <w:rFonts w:ascii="Arial" w:eastAsia="Times New Roman" w:hAnsi="Arial" w:cs="Arial"/>
                <w:color w:val="000000"/>
                <w:szCs w:val="20"/>
              </w:rPr>
              <w:t>  </w:t>
            </w:r>
          </w:p>
        </w:tc>
        <w:tc>
          <w:tcPr>
            <w:tcW w:w="990" w:type="dxa"/>
            <w:shd w:val="clear" w:color="auto" w:fill="auto"/>
            <w:hideMark/>
          </w:tcPr>
          <w:p w14:paraId="70920791" w14:textId="77777777" w:rsidR="00975E84" w:rsidRPr="004D669F" w:rsidRDefault="00975E84" w:rsidP="00107C66">
            <w:pPr>
              <w:widowControl/>
              <w:autoSpaceDE/>
              <w:autoSpaceDN/>
              <w:adjustRightInd/>
              <w:jc w:val="center"/>
              <w:textAlignment w:val="baseline"/>
              <w:rPr>
                <w:rFonts w:ascii="Arial" w:eastAsia="Times New Roman" w:hAnsi="Arial" w:cs="Arial"/>
                <w:szCs w:val="20"/>
              </w:rPr>
            </w:pPr>
            <w:r w:rsidRPr="004D669F">
              <w:rPr>
                <w:rFonts w:ascii="Arial" w:eastAsia="Times New Roman" w:hAnsi="Arial" w:cs="Arial"/>
                <w:szCs w:val="20"/>
              </w:rPr>
              <w:t>1</w:t>
            </w:r>
          </w:p>
        </w:tc>
        <w:tc>
          <w:tcPr>
            <w:tcW w:w="1440" w:type="dxa"/>
          </w:tcPr>
          <w:p w14:paraId="2D393B04" w14:textId="5B0A06E3" w:rsidR="00975E84" w:rsidRPr="004D669F" w:rsidRDefault="000D791F" w:rsidP="00107C66">
            <w:pPr>
              <w:widowControl/>
              <w:autoSpaceDE/>
              <w:autoSpaceDN/>
              <w:adjustRightInd/>
              <w:jc w:val="center"/>
              <w:textAlignment w:val="baseline"/>
              <w:rPr>
                <w:rFonts w:ascii="Arial" w:eastAsia="Times New Roman" w:hAnsi="Arial" w:cs="Arial"/>
                <w:sz w:val="18"/>
                <w:szCs w:val="18"/>
              </w:rPr>
            </w:pPr>
            <w:r w:rsidRPr="004D669F">
              <w:rPr>
                <w:rFonts w:ascii="Arial" w:eastAsia="Times New Roman" w:hAnsi="Arial" w:cs="Arial"/>
                <w:sz w:val="18"/>
                <w:szCs w:val="18"/>
              </w:rPr>
              <w:t>15</w:t>
            </w:r>
          </w:p>
          <w:p w14:paraId="0799CD51" w14:textId="77777777" w:rsidR="00975E84" w:rsidRPr="004D669F" w:rsidRDefault="00975E84" w:rsidP="00107C66">
            <w:pPr>
              <w:widowControl/>
              <w:autoSpaceDE/>
              <w:autoSpaceDN/>
              <w:adjustRightInd/>
              <w:jc w:val="center"/>
              <w:textAlignment w:val="baseline"/>
              <w:rPr>
                <w:rFonts w:ascii="Arial" w:eastAsia="Times New Roman" w:hAnsi="Arial" w:cs="Arial"/>
                <w:sz w:val="18"/>
                <w:szCs w:val="18"/>
              </w:rPr>
            </w:pPr>
          </w:p>
          <w:p w14:paraId="32664D21" w14:textId="7DD8815C" w:rsidR="00975E84" w:rsidRPr="004D669F" w:rsidRDefault="00975E84" w:rsidP="00107C66">
            <w:pPr>
              <w:widowControl/>
              <w:autoSpaceDE/>
              <w:autoSpaceDN/>
              <w:adjustRightInd/>
              <w:jc w:val="center"/>
              <w:textAlignment w:val="baseline"/>
              <w:rPr>
                <w:rFonts w:ascii="Arial" w:eastAsia="Times New Roman" w:hAnsi="Arial" w:cs="Arial"/>
                <w:sz w:val="18"/>
                <w:szCs w:val="18"/>
              </w:rPr>
            </w:pPr>
          </w:p>
          <w:p w14:paraId="19A9C761" w14:textId="77777777" w:rsidR="00975E84" w:rsidRPr="004D669F" w:rsidRDefault="00975E84" w:rsidP="00107C66">
            <w:pPr>
              <w:widowControl/>
              <w:autoSpaceDE/>
              <w:autoSpaceDN/>
              <w:adjustRightInd/>
              <w:jc w:val="center"/>
              <w:textAlignment w:val="baseline"/>
              <w:rPr>
                <w:rFonts w:ascii="Arial" w:eastAsia="Times New Roman" w:hAnsi="Arial" w:cs="Arial"/>
                <w:sz w:val="18"/>
                <w:szCs w:val="18"/>
              </w:rPr>
            </w:pPr>
          </w:p>
          <w:p w14:paraId="2152864B" w14:textId="77777777" w:rsidR="00975E84" w:rsidRPr="004D669F" w:rsidRDefault="00975E84" w:rsidP="00107C66">
            <w:pPr>
              <w:widowControl/>
              <w:autoSpaceDE/>
              <w:autoSpaceDN/>
              <w:adjustRightInd/>
              <w:jc w:val="center"/>
              <w:textAlignment w:val="baseline"/>
              <w:rPr>
                <w:rFonts w:ascii="Arial" w:eastAsia="Times New Roman" w:hAnsi="Arial" w:cs="Arial"/>
                <w:sz w:val="18"/>
                <w:szCs w:val="18"/>
              </w:rPr>
            </w:pPr>
          </w:p>
        </w:tc>
      </w:tr>
      <w:tr w:rsidR="001E2081" w:rsidRPr="00817E81" w14:paraId="58F961ED" w14:textId="77777777" w:rsidTr="00765558">
        <w:trPr>
          <w:trHeight w:val="855"/>
        </w:trPr>
        <w:tc>
          <w:tcPr>
            <w:tcW w:w="312" w:type="dxa"/>
            <w:vMerge w:val="restart"/>
            <w:shd w:val="clear" w:color="auto" w:fill="auto"/>
            <w:vAlign w:val="center"/>
            <w:hideMark/>
          </w:tcPr>
          <w:p w14:paraId="13225AA3" w14:textId="77777777" w:rsidR="001E2081" w:rsidRPr="00817E81" w:rsidRDefault="001E2081"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3  </w:t>
            </w:r>
          </w:p>
        </w:tc>
        <w:tc>
          <w:tcPr>
            <w:tcW w:w="1966" w:type="dxa"/>
            <w:vMerge w:val="restart"/>
            <w:shd w:val="clear" w:color="auto" w:fill="auto"/>
            <w:vAlign w:val="center"/>
            <w:hideMark/>
          </w:tcPr>
          <w:p w14:paraId="27FBE679" w14:textId="77777777" w:rsidR="001E2081" w:rsidRPr="00817E81" w:rsidRDefault="001E2081" w:rsidP="00107C66">
            <w:pPr>
              <w:widowControl/>
              <w:autoSpaceDE/>
              <w:autoSpaceDN/>
              <w:adjustRightInd/>
              <w:jc w:val="center"/>
              <w:textAlignment w:val="baseline"/>
              <w:rPr>
                <w:rFonts w:ascii="Segoe UI" w:eastAsia="Times New Roman" w:hAnsi="Segoe UI" w:cs="Segoe UI"/>
                <w:sz w:val="18"/>
                <w:szCs w:val="18"/>
              </w:rPr>
            </w:pPr>
            <w:r w:rsidRPr="00817E81">
              <w:rPr>
                <w:rFonts w:ascii="Calibri" w:eastAsia="Times New Roman" w:hAnsi="Calibri" w:cs="Calibri"/>
                <w:sz w:val="22"/>
                <w:szCs w:val="22"/>
              </w:rPr>
              <w:t>  </w:t>
            </w:r>
            <w:r w:rsidRPr="00817E81">
              <w:rPr>
                <w:rFonts w:ascii="Calibri" w:eastAsia="Times New Roman" w:hAnsi="Calibri" w:cs="Calibri"/>
                <w:sz w:val="22"/>
                <w:szCs w:val="22"/>
              </w:rPr>
              <w:br/>
            </w:r>
            <w:r w:rsidRPr="00817E81">
              <w:rPr>
                <w:rFonts w:ascii="Calibri" w:eastAsia="Times New Roman" w:hAnsi="Calibri" w:cs="Calibri"/>
                <w:szCs w:val="20"/>
              </w:rPr>
              <w:t>  </w:t>
            </w:r>
            <w:r w:rsidRPr="00817E81">
              <w:rPr>
                <w:rFonts w:ascii="Calibri" w:eastAsia="Times New Roman" w:hAnsi="Calibri" w:cs="Calibri"/>
                <w:szCs w:val="20"/>
              </w:rPr>
              <w:br/>
            </w:r>
            <w:r w:rsidRPr="00817E81">
              <w:rPr>
                <w:rFonts w:ascii="Arial" w:eastAsia="Times New Roman" w:hAnsi="Arial" w:cs="Arial"/>
                <w:color w:val="000000"/>
                <w:szCs w:val="20"/>
              </w:rPr>
              <w:t>Increase education/knowledge of substance use   </w:t>
            </w:r>
          </w:p>
        </w:tc>
        <w:tc>
          <w:tcPr>
            <w:tcW w:w="1223" w:type="dxa"/>
            <w:shd w:val="clear" w:color="auto" w:fill="auto"/>
            <w:vAlign w:val="center"/>
            <w:hideMark/>
          </w:tcPr>
          <w:p w14:paraId="05C57FD6" w14:textId="77777777" w:rsidR="001E2081" w:rsidRPr="00817E81" w:rsidRDefault="001E2081"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Output  </w:t>
            </w:r>
          </w:p>
        </w:tc>
        <w:tc>
          <w:tcPr>
            <w:tcW w:w="2502" w:type="dxa"/>
            <w:shd w:val="clear" w:color="auto" w:fill="auto"/>
            <w:vAlign w:val="center"/>
            <w:hideMark/>
          </w:tcPr>
          <w:p w14:paraId="04C5D9FC" w14:textId="77777777" w:rsidR="001E2081" w:rsidRPr="00817E81" w:rsidRDefault="001E2081"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Participants engage in educational workshops regarding impact of substance use  </w:t>
            </w:r>
          </w:p>
        </w:tc>
        <w:tc>
          <w:tcPr>
            <w:tcW w:w="1999" w:type="dxa"/>
            <w:shd w:val="clear" w:color="auto" w:fill="auto"/>
            <w:vAlign w:val="center"/>
            <w:hideMark/>
          </w:tcPr>
          <w:p w14:paraId="35485697" w14:textId="77777777" w:rsidR="001E2081" w:rsidRPr="00817E81" w:rsidRDefault="001E2081" w:rsidP="00107C66">
            <w:pPr>
              <w:widowControl/>
              <w:autoSpaceDE/>
              <w:autoSpaceDN/>
              <w:adjustRightInd/>
              <w:jc w:val="center"/>
              <w:textAlignment w:val="baseline"/>
              <w:rPr>
                <w:rFonts w:ascii="Segoe UI" w:eastAsia="Times New Roman" w:hAnsi="Segoe UI" w:cs="Segoe UI"/>
                <w:sz w:val="18"/>
                <w:szCs w:val="18"/>
              </w:rPr>
            </w:pPr>
            <w:r>
              <w:rPr>
                <w:rFonts w:ascii="Arial" w:eastAsia="Times New Roman" w:hAnsi="Arial" w:cs="Arial"/>
                <w:color w:val="000000"/>
                <w:szCs w:val="20"/>
              </w:rPr>
              <w:t>45</w:t>
            </w:r>
            <w:r w:rsidRPr="00817E81">
              <w:rPr>
                <w:rFonts w:ascii="Arial" w:eastAsia="Times New Roman" w:hAnsi="Arial" w:cs="Arial"/>
                <w:color w:val="000000"/>
                <w:szCs w:val="20"/>
              </w:rPr>
              <w:t> SMPP  </w:t>
            </w:r>
          </w:p>
        </w:tc>
        <w:tc>
          <w:tcPr>
            <w:tcW w:w="1710" w:type="dxa"/>
          </w:tcPr>
          <w:p w14:paraId="332EA19E" w14:textId="77777777" w:rsidR="001E2081" w:rsidRPr="00817E81" w:rsidRDefault="001E2081" w:rsidP="00107C66">
            <w:pPr>
              <w:widowControl/>
              <w:autoSpaceDE/>
              <w:autoSpaceDN/>
              <w:adjustRightInd/>
              <w:jc w:val="center"/>
              <w:textAlignment w:val="baseline"/>
              <w:rPr>
                <w:rFonts w:ascii="Arial" w:eastAsia="Times New Roman" w:hAnsi="Arial" w:cs="Arial"/>
                <w:color w:val="000000"/>
                <w:szCs w:val="20"/>
              </w:rPr>
            </w:pPr>
            <w:r w:rsidRPr="00817E81">
              <w:rPr>
                <w:rFonts w:ascii="Arial" w:eastAsia="Times New Roman" w:hAnsi="Arial" w:cs="Arial"/>
                <w:color w:val="000000"/>
                <w:szCs w:val="20"/>
              </w:rPr>
              <w:t>Survey  </w:t>
            </w:r>
          </w:p>
        </w:tc>
        <w:tc>
          <w:tcPr>
            <w:tcW w:w="990" w:type="dxa"/>
            <w:shd w:val="clear" w:color="auto" w:fill="auto"/>
            <w:hideMark/>
          </w:tcPr>
          <w:p w14:paraId="1EFAFE2C" w14:textId="77777777" w:rsidR="001E2081" w:rsidRPr="004D669F" w:rsidRDefault="001E2081" w:rsidP="00107C66">
            <w:pPr>
              <w:widowControl/>
              <w:autoSpaceDE/>
              <w:autoSpaceDN/>
              <w:adjustRightInd/>
              <w:jc w:val="center"/>
              <w:textAlignment w:val="baseline"/>
              <w:rPr>
                <w:rFonts w:ascii="Arial" w:eastAsia="Times New Roman" w:hAnsi="Arial" w:cs="Arial"/>
                <w:sz w:val="18"/>
                <w:szCs w:val="18"/>
              </w:rPr>
            </w:pPr>
            <w:r w:rsidRPr="004D669F">
              <w:rPr>
                <w:rFonts w:ascii="Arial" w:eastAsia="Times New Roman" w:hAnsi="Arial" w:cs="Arial"/>
                <w:color w:val="000000"/>
                <w:szCs w:val="20"/>
              </w:rPr>
              <w:t> </w:t>
            </w:r>
          </w:p>
          <w:p w14:paraId="1DF5944F" w14:textId="77777777" w:rsidR="001E2081" w:rsidRPr="004D669F" w:rsidRDefault="001E2081" w:rsidP="00107C66">
            <w:pPr>
              <w:widowControl/>
              <w:autoSpaceDE/>
              <w:autoSpaceDN/>
              <w:adjustRightInd/>
              <w:jc w:val="center"/>
              <w:textAlignment w:val="baseline"/>
              <w:rPr>
                <w:rFonts w:ascii="Arial" w:eastAsia="Times New Roman" w:hAnsi="Arial" w:cs="Arial"/>
                <w:sz w:val="18"/>
                <w:szCs w:val="18"/>
              </w:rPr>
            </w:pPr>
            <w:r w:rsidRPr="004D669F">
              <w:rPr>
                <w:rFonts w:ascii="Arial" w:eastAsia="Times New Roman" w:hAnsi="Arial" w:cs="Arial"/>
                <w:color w:val="000000"/>
                <w:szCs w:val="20"/>
              </w:rPr>
              <w:t>26</w:t>
            </w:r>
          </w:p>
        </w:tc>
        <w:tc>
          <w:tcPr>
            <w:tcW w:w="1440" w:type="dxa"/>
          </w:tcPr>
          <w:p w14:paraId="7147689F" w14:textId="4EA7B448" w:rsidR="001E2081" w:rsidRPr="004D669F" w:rsidRDefault="001E2081" w:rsidP="00107C66">
            <w:pPr>
              <w:widowControl/>
              <w:autoSpaceDE/>
              <w:autoSpaceDN/>
              <w:adjustRightInd/>
              <w:jc w:val="center"/>
              <w:textAlignment w:val="baseline"/>
              <w:rPr>
                <w:rFonts w:ascii="Arial" w:eastAsia="Times New Roman" w:hAnsi="Arial" w:cs="Arial"/>
                <w:sz w:val="18"/>
                <w:szCs w:val="18"/>
              </w:rPr>
            </w:pPr>
          </w:p>
          <w:p w14:paraId="5B85985E" w14:textId="0C705D09" w:rsidR="001E2081" w:rsidRPr="004D669F" w:rsidRDefault="199AED7A" w:rsidP="00F6218B">
            <w:pPr>
              <w:widowControl/>
              <w:autoSpaceDE/>
              <w:autoSpaceDN/>
              <w:adjustRightInd/>
              <w:jc w:val="center"/>
              <w:textAlignment w:val="baseline"/>
              <w:rPr>
                <w:rFonts w:ascii="Arial" w:eastAsia="Times New Roman" w:hAnsi="Arial" w:cs="Arial"/>
                <w:sz w:val="18"/>
                <w:szCs w:val="18"/>
              </w:rPr>
            </w:pPr>
            <w:r w:rsidRPr="783A8DBC">
              <w:rPr>
                <w:rFonts w:ascii="Arial" w:eastAsia="Times New Roman" w:hAnsi="Arial" w:cs="Arial"/>
                <w:sz w:val="18"/>
                <w:szCs w:val="18"/>
              </w:rPr>
              <w:t>99</w:t>
            </w:r>
          </w:p>
        </w:tc>
      </w:tr>
      <w:tr w:rsidR="001E2081" w:rsidRPr="00817E81" w14:paraId="70682B6D" w14:textId="77777777" w:rsidTr="00765558">
        <w:trPr>
          <w:trHeight w:val="1125"/>
        </w:trPr>
        <w:tc>
          <w:tcPr>
            <w:tcW w:w="312" w:type="dxa"/>
            <w:vMerge/>
            <w:vAlign w:val="center"/>
            <w:hideMark/>
          </w:tcPr>
          <w:p w14:paraId="722E9F94" w14:textId="77777777" w:rsidR="001E2081" w:rsidRPr="00817E81" w:rsidRDefault="001E2081" w:rsidP="00107C66">
            <w:pPr>
              <w:widowControl/>
              <w:autoSpaceDE/>
              <w:autoSpaceDN/>
              <w:adjustRightInd/>
              <w:rPr>
                <w:rFonts w:ascii="Segoe UI" w:eastAsia="Times New Roman" w:hAnsi="Segoe UI" w:cs="Segoe UI"/>
                <w:sz w:val="18"/>
                <w:szCs w:val="18"/>
              </w:rPr>
            </w:pPr>
          </w:p>
        </w:tc>
        <w:tc>
          <w:tcPr>
            <w:tcW w:w="0" w:type="auto"/>
            <w:vMerge/>
            <w:vAlign w:val="center"/>
            <w:hideMark/>
          </w:tcPr>
          <w:p w14:paraId="01ACF2D8" w14:textId="77777777" w:rsidR="001E2081" w:rsidRPr="00817E81" w:rsidRDefault="001E2081" w:rsidP="00107C66">
            <w:pPr>
              <w:widowControl/>
              <w:autoSpaceDE/>
              <w:autoSpaceDN/>
              <w:adjustRightInd/>
              <w:rPr>
                <w:rFonts w:ascii="Segoe UI" w:eastAsia="Times New Roman" w:hAnsi="Segoe UI" w:cs="Segoe UI"/>
                <w:sz w:val="18"/>
                <w:szCs w:val="18"/>
              </w:rPr>
            </w:pPr>
          </w:p>
        </w:tc>
        <w:tc>
          <w:tcPr>
            <w:tcW w:w="1223" w:type="dxa"/>
            <w:shd w:val="clear" w:color="auto" w:fill="auto"/>
            <w:vAlign w:val="center"/>
            <w:hideMark/>
          </w:tcPr>
          <w:p w14:paraId="62ED0888" w14:textId="77777777" w:rsidR="001E2081" w:rsidRPr="00817E81" w:rsidRDefault="001E2081"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Outcome  </w:t>
            </w:r>
          </w:p>
        </w:tc>
        <w:tc>
          <w:tcPr>
            <w:tcW w:w="2502" w:type="dxa"/>
            <w:shd w:val="clear" w:color="auto" w:fill="auto"/>
            <w:vAlign w:val="center"/>
            <w:hideMark/>
          </w:tcPr>
          <w:p w14:paraId="3A6D2EDD" w14:textId="77777777" w:rsidR="001E2081" w:rsidRPr="00817E81" w:rsidRDefault="001E2081"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Participant has increased knowledge of the impacts of substance use   </w:t>
            </w:r>
          </w:p>
          <w:p w14:paraId="09AB9C85" w14:textId="77777777" w:rsidR="001E2081" w:rsidRPr="00817E81" w:rsidRDefault="001E2081" w:rsidP="00107C66">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tc>
        <w:tc>
          <w:tcPr>
            <w:tcW w:w="1999" w:type="dxa"/>
            <w:shd w:val="clear" w:color="auto" w:fill="auto"/>
            <w:vAlign w:val="center"/>
            <w:hideMark/>
          </w:tcPr>
          <w:p w14:paraId="17A051B1" w14:textId="77777777" w:rsidR="001E2081" w:rsidRPr="00817E81" w:rsidRDefault="001E2081" w:rsidP="00107C66">
            <w:pPr>
              <w:widowControl/>
              <w:autoSpaceDE/>
              <w:autoSpaceDN/>
              <w:adjustRightInd/>
              <w:jc w:val="center"/>
              <w:textAlignment w:val="baseline"/>
              <w:rPr>
                <w:rFonts w:ascii="Segoe UI" w:eastAsia="Times New Roman" w:hAnsi="Segoe UI" w:cs="Segoe UI"/>
                <w:sz w:val="18"/>
                <w:szCs w:val="18"/>
              </w:rPr>
            </w:pPr>
            <w:r>
              <w:rPr>
                <w:rFonts w:ascii="Arial" w:eastAsia="Times New Roman" w:hAnsi="Arial" w:cs="Arial"/>
                <w:color w:val="000000"/>
                <w:szCs w:val="20"/>
              </w:rPr>
              <w:t>80% (36</w:t>
            </w:r>
            <w:r w:rsidRPr="00817E81">
              <w:rPr>
                <w:rFonts w:ascii="Arial" w:eastAsia="Times New Roman" w:hAnsi="Arial" w:cs="Arial"/>
                <w:color w:val="000000"/>
                <w:szCs w:val="20"/>
              </w:rPr>
              <w:t>) SMPP  </w:t>
            </w:r>
          </w:p>
        </w:tc>
        <w:tc>
          <w:tcPr>
            <w:tcW w:w="1710" w:type="dxa"/>
          </w:tcPr>
          <w:p w14:paraId="7C6AAFB1" w14:textId="77777777" w:rsidR="001E2081" w:rsidRPr="00817E81" w:rsidRDefault="001E2081" w:rsidP="00107C66">
            <w:pPr>
              <w:widowControl/>
              <w:autoSpaceDE/>
              <w:autoSpaceDN/>
              <w:adjustRightInd/>
              <w:jc w:val="center"/>
              <w:textAlignment w:val="baseline"/>
              <w:rPr>
                <w:rFonts w:ascii="Arial" w:eastAsia="Times New Roman" w:hAnsi="Arial" w:cs="Arial"/>
                <w:color w:val="000000"/>
                <w:szCs w:val="20"/>
              </w:rPr>
            </w:pPr>
            <w:r w:rsidRPr="00817E81">
              <w:rPr>
                <w:rFonts w:ascii="Arial" w:eastAsia="Times New Roman" w:hAnsi="Arial" w:cs="Arial"/>
                <w:color w:val="000000"/>
                <w:szCs w:val="20"/>
              </w:rPr>
              <w:t>Survey data</w:t>
            </w:r>
          </w:p>
        </w:tc>
        <w:tc>
          <w:tcPr>
            <w:tcW w:w="990" w:type="dxa"/>
            <w:shd w:val="clear" w:color="auto" w:fill="auto"/>
            <w:hideMark/>
          </w:tcPr>
          <w:p w14:paraId="23E30294" w14:textId="48E426B3" w:rsidR="001E2081" w:rsidRPr="004D669F" w:rsidRDefault="001E2081" w:rsidP="00107C66">
            <w:pPr>
              <w:widowControl/>
              <w:autoSpaceDE/>
              <w:autoSpaceDN/>
              <w:adjustRightInd/>
              <w:jc w:val="center"/>
              <w:textAlignment w:val="baseline"/>
              <w:rPr>
                <w:rFonts w:ascii="Arial" w:eastAsia="Times New Roman" w:hAnsi="Arial" w:cs="Arial"/>
                <w:sz w:val="18"/>
                <w:szCs w:val="18"/>
              </w:rPr>
            </w:pPr>
          </w:p>
          <w:p w14:paraId="56E6A32F" w14:textId="26638056" w:rsidR="001E2081" w:rsidRPr="004D669F" w:rsidRDefault="004D669F" w:rsidP="00107C66">
            <w:pPr>
              <w:widowControl/>
              <w:autoSpaceDE/>
              <w:autoSpaceDN/>
              <w:adjustRightInd/>
              <w:jc w:val="center"/>
              <w:textAlignment w:val="baseline"/>
              <w:rPr>
                <w:rFonts w:ascii="Arial" w:eastAsia="Times New Roman" w:hAnsi="Arial" w:cs="Arial"/>
                <w:sz w:val="18"/>
                <w:szCs w:val="18"/>
              </w:rPr>
            </w:pPr>
            <w:r w:rsidRPr="004D669F">
              <w:rPr>
                <w:rFonts w:ascii="Arial" w:eastAsia="Times New Roman" w:hAnsi="Arial" w:cs="Arial"/>
                <w:sz w:val="18"/>
                <w:szCs w:val="18"/>
              </w:rPr>
              <w:t>1</w:t>
            </w:r>
          </w:p>
        </w:tc>
        <w:tc>
          <w:tcPr>
            <w:tcW w:w="1440" w:type="dxa"/>
          </w:tcPr>
          <w:p w14:paraId="690F1D7C" w14:textId="77777777" w:rsidR="001E2081" w:rsidRPr="004D669F" w:rsidRDefault="001E2081" w:rsidP="00107C66">
            <w:pPr>
              <w:widowControl/>
              <w:autoSpaceDE/>
              <w:autoSpaceDN/>
              <w:adjustRightInd/>
              <w:jc w:val="center"/>
              <w:textAlignment w:val="baseline"/>
              <w:rPr>
                <w:rFonts w:ascii="Arial" w:eastAsia="Times New Roman" w:hAnsi="Arial" w:cs="Arial"/>
                <w:color w:val="000000"/>
                <w:szCs w:val="20"/>
              </w:rPr>
            </w:pPr>
          </w:p>
          <w:p w14:paraId="03EB0EF8" w14:textId="639C417B" w:rsidR="001E2081" w:rsidRPr="004D669F" w:rsidRDefault="00F6218B" w:rsidP="00107C66">
            <w:pPr>
              <w:widowControl/>
              <w:autoSpaceDE/>
              <w:autoSpaceDN/>
              <w:adjustRightInd/>
              <w:jc w:val="center"/>
              <w:textAlignment w:val="baseline"/>
              <w:rPr>
                <w:rFonts w:ascii="Arial" w:eastAsia="Times New Roman" w:hAnsi="Arial" w:cs="Arial"/>
                <w:color w:val="000000"/>
                <w:szCs w:val="20"/>
              </w:rPr>
            </w:pPr>
            <w:r w:rsidRPr="004D669F">
              <w:rPr>
                <w:rFonts w:ascii="Arial" w:eastAsia="Times New Roman" w:hAnsi="Arial" w:cs="Arial"/>
                <w:color w:val="000000"/>
                <w:szCs w:val="20"/>
              </w:rPr>
              <w:t>47</w:t>
            </w:r>
          </w:p>
        </w:tc>
      </w:tr>
    </w:tbl>
    <w:p w14:paraId="0D62E515" w14:textId="305EAE65" w:rsidR="00975E84" w:rsidRPr="004D669F" w:rsidRDefault="00975E84" w:rsidP="004D669F">
      <w:pPr>
        <w:sectPr w:rsidR="00975E84" w:rsidRPr="004D669F"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7391A2" w14:textId="745B0103" w:rsidR="004D669F" w:rsidRDefault="004D669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CD51E22" w14:textId="48F6DCD1" w:rsidR="004D669F" w:rsidRPr="004D669F" w:rsidRDefault="004D669F" w:rsidP="004D669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D669F">
        <w:t xml:space="preserve">VARIANCE REPORT: </w:t>
      </w:r>
    </w:p>
    <w:p w14:paraId="36F1B606" w14:textId="77777777" w:rsidR="004D669F" w:rsidRDefault="004D669F" w:rsidP="004D669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71E0DC71" w14:textId="77777777" w:rsidR="004D669F" w:rsidRPr="00BF7E36" w:rsidRDefault="004D669F" w:rsidP="004D669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Mid-year:</w:t>
      </w:r>
      <w:r w:rsidRPr="00BF7E36">
        <w:rPr>
          <w:b w:val="0"/>
          <w:u w:val="none"/>
        </w:rPr>
        <w:t xml:space="preserve"> Please identify </w:t>
      </w:r>
      <w:r>
        <w:rPr>
          <w:b w:val="0"/>
          <w:u w:val="none"/>
        </w:rPr>
        <w:t>specific</w:t>
      </w:r>
      <w:r w:rsidRPr="00BF7E36">
        <w:rPr>
          <w:b w:val="0"/>
          <w:u w:val="none"/>
        </w:rPr>
        <w:t xml:space="preserve"> </w:t>
      </w:r>
      <w:r>
        <w:rPr>
          <w:b w:val="0"/>
          <w:u w:val="none"/>
        </w:rPr>
        <w:t xml:space="preserve">outputs or </w:t>
      </w:r>
      <w:r w:rsidRPr="00BF7E36">
        <w:rPr>
          <w:b w:val="0"/>
          <w:u w:val="none"/>
        </w:rPr>
        <w:t xml:space="preserve">outcomes </w:t>
      </w:r>
      <w:r>
        <w:rPr>
          <w:b w:val="0"/>
          <w:u w:val="none"/>
        </w:rPr>
        <w:t xml:space="preserve">not on track for being met by year-end. </w:t>
      </w:r>
      <w:r w:rsidRPr="00BF7E36">
        <w:rPr>
          <w:b w:val="0"/>
          <w:u w:val="none"/>
        </w:rPr>
        <w:t xml:space="preserve">Provide an explanation of the barriers the program is experiencing and the steps the </w:t>
      </w:r>
      <w:r>
        <w:rPr>
          <w:b w:val="0"/>
          <w:u w:val="none"/>
        </w:rPr>
        <w:t>staff</w:t>
      </w:r>
      <w:r w:rsidRPr="00BF7E36">
        <w:rPr>
          <w:b w:val="0"/>
          <w:u w:val="none"/>
        </w:rPr>
        <w:t xml:space="preserve"> is taking to mitigate the situation.</w:t>
      </w:r>
    </w:p>
    <w:p w14:paraId="5A75DA34" w14:textId="77777777" w:rsidR="004D669F" w:rsidRPr="00BF7E36" w:rsidRDefault="004D669F" w:rsidP="004D669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7640E02B" w14:textId="77777777" w:rsidR="004D669F" w:rsidRPr="00BF7E36" w:rsidRDefault="004D669F" w:rsidP="004D669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Pr>
          <w:b w:val="0"/>
          <w:u w:val="none"/>
        </w:rPr>
        <w:t>for which</w:t>
      </w:r>
      <w:r w:rsidRPr="00BF7E36">
        <w:rPr>
          <w:b w:val="0"/>
          <w:u w:val="none"/>
        </w:rPr>
        <w:t xml:space="preserve"> achievement is above or below 10% of the projected target.</w:t>
      </w:r>
    </w:p>
    <w:p w14:paraId="31E4C550" w14:textId="77777777" w:rsidR="004D669F" w:rsidRDefault="004D669F" w:rsidP="004D669F">
      <w:pPr>
        <w:rPr>
          <w:rFonts w:ascii="Arial" w:hAnsi="Arial"/>
          <w:sz w:val="21"/>
        </w:rPr>
      </w:pPr>
    </w:p>
    <w:p w14:paraId="307252EC" w14:textId="77777777" w:rsidR="004D669F" w:rsidRDefault="004D669F" w:rsidP="004D669F">
      <w:pPr>
        <w:rPr>
          <w:rFonts w:ascii="Arial" w:hAnsi="Arial" w:cs="Arial"/>
          <w:sz w:val="21"/>
          <w:szCs w:val="21"/>
        </w:rPr>
      </w:pPr>
      <w:r>
        <w:rPr>
          <w:rFonts w:ascii="Arial" w:hAnsi="Arial"/>
          <w:sz w:val="21"/>
        </w:rPr>
        <w:t>T</w:t>
      </w:r>
      <w:r w:rsidRPr="007B2598">
        <w:rPr>
          <w:rFonts w:ascii="Arial" w:hAnsi="Arial" w:cs="Arial"/>
          <w:sz w:val="21"/>
          <w:szCs w:val="21"/>
        </w:rPr>
        <w:t xml:space="preserve">he Prevention Team </w:t>
      </w:r>
      <w:r>
        <w:rPr>
          <w:rFonts w:ascii="Arial" w:hAnsi="Arial" w:cs="Arial"/>
          <w:sz w:val="21"/>
          <w:szCs w:val="21"/>
        </w:rPr>
        <w:t>has exceeded the</w:t>
      </w:r>
      <w:r w:rsidRPr="007B2598">
        <w:rPr>
          <w:rFonts w:ascii="Arial" w:hAnsi="Arial" w:cs="Arial"/>
          <w:sz w:val="21"/>
          <w:szCs w:val="21"/>
        </w:rPr>
        <w:t xml:space="preserve"> target</w:t>
      </w:r>
      <w:r>
        <w:rPr>
          <w:rFonts w:ascii="Arial" w:hAnsi="Arial" w:cs="Arial"/>
          <w:sz w:val="21"/>
          <w:szCs w:val="21"/>
        </w:rPr>
        <w:t xml:space="preserve">ed number of unduplicated </w:t>
      </w:r>
      <w:proofErr w:type="gramStart"/>
      <w:r>
        <w:rPr>
          <w:rFonts w:ascii="Arial" w:hAnsi="Arial" w:cs="Arial"/>
          <w:sz w:val="21"/>
          <w:szCs w:val="21"/>
        </w:rPr>
        <w:t>youth</w:t>
      </w:r>
      <w:proofErr w:type="gramEnd"/>
      <w:r>
        <w:rPr>
          <w:rFonts w:ascii="Arial" w:hAnsi="Arial" w:cs="Arial"/>
          <w:sz w:val="21"/>
          <w:szCs w:val="21"/>
        </w:rPr>
        <w:t xml:space="preserve"> receiving individual substance use services by closely monitoring students attendance and implementing completion dates to keep them engaged, resulting in the ability to accept more referrals.  </w:t>
      </w:r>
    </w:p>
    <w:p w14:paraId="2CE3FECD" w14:textId="77777777" w:rsidR="004D669F" w:rsidRDefault="004D669F" w:rsidP="004D669F">
      <w:pPr>
        <w:rPr>
          <w:rFonts w:ascii="Arial" w:hAnsi="Arial" w:cs="Arial"/>
          <w:sz w:val="21"/>
          <w:szCs w:val="21"/>
        </w:rPr>
      </w:pPr>
    </w:p>
    <w:p w14:paraId="41B2DADC" w14:textId="77777777" w:rsidR="004D669F" w:rsidRDefault="004D669F" w:rsidP="004D669F">
      <w:pPr>
        <w:rPr>
          <w:rFonts w:ascii="Arial" w:hAnsi="Arial" w:cs="Arial"/>
          <w:sz w:val="21"/>
          <w:szCs w:val="21"/>
        </w:rPr>
      </w:pPr>
      <w:r>
        <w:rPr>
          <w:rFonts w:ascii="Arial" w:hAnsi="Arial" w:cs="Arial"/>
          <w:sz w:val="21"/>
          <w:szCs w:val="21"/>
        </w:rPr>
        <w:t xml:space="preserve">While the Prevention Team has collected 100% pre/post surveys from each student that attended the Life Skills groups, the census remained below the targeted of 45 program participants. </w:t>
      </w:r>
      <w:r w:rsidRPr="007B2598">
        <w:rPr>
          <w:rFonts w:ascii="Arial" w:hAnsi="Arial" w:cs="Arial"/>
          <w:sz w:val="21"/>
          <w:szCs w:val="21"/>
        </w:rPr>
        <w:t xml:space="preserve"> </w:t>
      </w:r>
      <w:r>
        <w:rPr>
          <w:rFonts w:ascii="Arial" w:hAnsi="Arial" w:cs="Arial"/>
          <w:sz w:val="21"/>
          <w:szCs w:val="21"/>
        </w:rPr>
        <w:t xml:space="preserve">Majority of students who are mandated to substance use services meet criteria for individual services. In effort to maximize substance use services and create an option for non-mandated students, the Prevention Team continues to offer group services.  Three (3) additional non-mandated students attended the Life Skills groups.  </w:t>
      </w:r>
    </w:p>
    <w:p w14:paraId="05830257" w14:textId="77777777" w:rsidR="004D669F" w:rsidRDefault="004D669F" w:rsidP="004D669F">
      <w:pPr>
        <w:rPr>
          <w:rFonts w:ascii="Arial" w:hAnsi="Arial" w:cs="Arial"/>
          <w:sz w:val="21"/>
          <w:szCs w:val="21"/>
        </w:rPr>
      </w:pPr>
    </w:p>
    <w:p w14:paraId="0DFD83F9" w14:textId="5E68C2AE" w:rsidR="004D669F" w:rsidRPr="00071CA8" w:rsidRDefault="004D669F" w:rsidP="004D669F">
      <w:pPr>
        <w:rPr>
          <w:rFonts w:ascii="Arial" w:hAnsi="Arial" w:cs="Arial"/>
          <w:sz w:val="21"/>
          <w:szCs w:val="21"/>
        </w:rPr>
      </w:pPr>
      <w:r>
        <w:rPr>
          <w:rFonts w:ascii="Arial" w:hAnsi="Arial" w:cs="Arial"/>
          <w:sz w:val="21"/>
          <w:szCs w:val="21"/>
        </w:rPr>
        <w:t>Ove</w:t>
      </w:r>
      <w:r w:rsidR="004F15C7">
        <w:rPr>
          <w:rFonts w:ascii="Arial" w:hAnsi="Arial" w:cs="Arial"/>
          <w:sz w:val="21"/>
          <w:szCs w:val="21"/>
        </w:rPr>
        <w:t>r seven</w:t>
      </w:r>
      <w:r>
        <w:rPr>
          <w:rFonts w:ascii="Arial" w:hAnsi="Arial" w:cs="Arial"/>
          <w:sz w:val="21"/>
          <w:szCs w:val="21"/>
        </w:rPr>
        <w:t xml:space="preserve"> hundred (</w:t>
      </w:r>
      <w:r w:rsidR="004F15C7">
        <w:rPr>
          <w:rFonts w:ascii="Arial" w:hAnsi="Arial" w:cs="Arial"/>
          <w:sz w:val="21"/>
          <w:szCs w:val="21"/>
        </w:rPr>
        <w:t>7</w:t>
      </w:r>
      <w:r>
        <w:rPr>
          <w:rFonts w:ascii="Arial" w:hAnsi="Arial" w:cs="Arial"/>
          <w:sz w:val="21"/>
          <w:szCs w:val="21"/>
        </w:rPr>
        <w:t>00) students have participated in educational workshops regarding impact of substance use, however only 99 students completed a survey with forty-seven (47) endorsing an increased knowledge of the impact of substance use.  Additional data obtained from the surveys reveal that many students remain concerned about substance use on campus.</w:t>
      </w:r>
    </w:p>
    <w:p w14:paraId="51BC9C0E" w14:textId="77777777" w:rsidR="004D669F" w:rsidRDefault="004D669F" w:rsidP="004D66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BBBB28E" w14:textId="77777777" w:rsidR="004D669F" w:rsidRDefault="004D669F" w:rsidP="004D66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ABDD9E2" w14:textId="77777777" w:rsidR="004D669F" w:rsidRDefault="004D669F" w:rsidP="004D66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05CAD4F" w14:textId="77777777" w:rsidR="004D669F" w:rsidRDefault="004D669F" w:rsidP="004D66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71936D" w14:textId="77777777" w:rsidR="004D669F" w:rsidRDefault="004D669F" w:rsidP="004D669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VI</w:t>
      </w:r>
      <w:r>
        <w:rPr>
          <w:rFonts w:ascii="Arial" w:hAnsi="Arial" w:hint="eastAsia"/>
          <w:b/>
          <w:sz w:val="21"/>
          <w:u w:val="single"/>
        </w:rPr>
        <w:t>I</w:t>
      </w:r>
      <w:r>
        <w:rPr>
          <w:rFonts w:ascii="Arial" w:hAnsi="Arial"/>
          <w:b/>
          <w:sz w:val="21"/>
          <w:u w:val="single"/>
        </w:rPr>
        <w:t>I</w:t>
      </w:r>
      <w:r>
        <w:rPr>
          <w:rFonts w:ascii="Arial" w:hAnsi="Arial" w:hint="eastAsia"/>
          <w:b/>
          <w:sz w:val="21"/>
          <w:u w:val="single"/>
        </w:rPr>
        <w:t xml:space="preserve">: </w:t>
      </w:r>
      <w:r>
        <w:rPr>
          <w:rFonts w:ascii="Arial" w:hAnsi="Arial"/>
          <w:b/>
          <w:sz w:val="21"/>
          <w:u w:val="single"/>
        </w:rPr>
        <w:t>PROPERTY MANAGEMENT</w:t>
      </w:r>
    </w:p>
    <w:p w14:paraId="4631B3BC" w14:textId="77777777" w:rsidR="004D669F" w:rsidRPr="00D04539" w:rsidRDefault="004D669F" w:rsidP="004D669F">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City">
        <w:smartTag w:uri="urn:schemas-microsoft-com:office:smarttags" w:element="place">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7BC905CA" w14:textId="77777777" w:rsidR="004D669F" w:rsidRDefault="004D669F" w:rsidP="004D66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9F0160F" w14:textId="77777777" w:rsidR="004D669F" w:rsidRDefault="004D669F" w:rsidP="004D66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A8B2B12" w14:textId="77777777" w:rsidR="004D669F" w:rsidRDefault="004D669F" w:rsidP="004D66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N/A</w:t>
      </w:r>
    </w:p>
    <w:p w14:paraId="0800216B" w14:textId="77777777" w:rsidR="004D669F" w:rsidRPr="007D3B4E" w:rsidRDefault="004D669F" w:rsidP="004D66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080EAB1D" w14:textId="77777777" w:rsidR="004D669F" w:rsidRPr="007D3B4E" w:rsidRDefault="004D669F" w:rsidP="004D66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35C73594" w14:textId="77777777" w:rsidR="004D669F" w:rsidRDefault="004D669F" w:rsidP="004D66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365F3187" w14:textId="77777777" w:rsidR="004D669F" w:rsidRDefault="004D669F" w:rsidP="004D66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7CFBDBCF" w14:textId="77777777" w:rsidR="004D669F" w:rsidRDefault="004D669F" w:rsidP="004D66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52C973F" w14:textId="77777777" w:rsidR="004D669F" w:rsidRPr="007D3B4E" w:rsidRDefault="004D669F" w:rsidP="004D66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7AB3403F" w14:textId="77777777" w:rsidR="004D669F" w:rsidRPr="007D3B4E" w:rsidRDefault="004D669F" w:rsidP="004D669F">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49B4B476" w14:textId="77777777" w:rsidR="004D669F" w:rsidRDefault="004D669F" w:rsidP="004D66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7BEB35" w14:textId="77777777" w:rsidR="004D669F" w:rsidRDefault="004D669F" w:rsidP="004D669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10FB3004" w14:textId="77777777" w:rsidR="004D669F" w:rsidRDefault="004D669F" w:rsidP="004D669F"/>
    <w:p w14:paraId="0F6DC22D" w14:textId="77777777" w:rsidR="004D669F" w:rsidRDefault="004D669F" w:rsidP="004D669F"/>
    <w:p w14:paraId="1EF58437" w14:textId="207B7DDD" w:rsidR="00D04009" w:rsidRPr="004D669F" w:rsidRDefault="00D04009" w:rsidP="004D669F">
      <w:pPr>
        <w:tabs>
          <w:tab w:val="left" w:pos="1623"/>
        </w:tabs>
        <w:sectPr w:rsidR="00D04009" w:rsidRPr="004D669F" w:rsidSect="004D669F">
          <w:headerReference w:type="even" r:id="rId18"/>
          <w:headerReference w:type="default" r:id="rId19"/>
          <w:headerReference w:type="first" r:id="rId20"/>
          <w:endnotePr>
            <w:numFmt w:val="decimal"/>
          </w:endnotePr>
          <w:pgSz w:w="12240" w:h="15840" w:code="1"/>
          <w:pgMar w:top="1080" w:right="907" w:bottom="1080" w:left="907" w:header="1080" w:footer="720" w:gutter="0"/>
          <w:cols w:space="720"/>
          <w:noEndnote/>
        </w:sectPr>
      </w:pPr>
    </w:p>
    <w:p w14:paraId="1D67F112" w14:textId="5CC673AB" w:rsidR="003C3283" w:rsidRDefault="003C3283" w:rsidP="004D669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74C25" w14:textId="77777777" w:rsidR="0053616E" w:rsidRDefault="0053616E">
      <w:r>
        <w:separator/>
      </w:r>
    </w:p>
  </w:endnote>
  <w:endnote w:type="continuationSeparator" w:id="0">
    <w:p w14:paraId="00A25938" w14:textId="77777777" w:rsidR="0053616E" w:rsidRDefault="0053616E">
      <w:r>
        <w:continuationSeparator/>
      </w:r>
    </w:p>
  </w:endnote>
  <w:endnote w:type="continuationNotice" w:id="1">
    <w:p w14:paraId="57359166" w14:textId="77777777" w:rsidR="0053616E" w:rsidRDefault="00536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568" w14:textId="7E54E44B" w:rsidR="008A3694" w:rsidRPr="00F97AAC" w:rsidRDefault="00147ACE"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sidR="00C6470A">
      <w:rPr>
        <w:rFonts w:ascii="Arial" w:hAnsi="Arial" w:cs="Arial"/>
        <w:b/>
        <w:color w:val="FFFFFF"/>
        <w:sz w:val="24"/>
      </w:rPr>
      <w:t>2</w:t>
    </w:r>
    <w:r w:rsidR="00667EA8">
      <w:rPr>
        <w:rFonts w:ascii="Arial" w:hAnsi="Arial" w:cs="Arial"/>
        <w:b/>
        <w:color w:val="FFFFFF"/>
        <w:sz w:val="24"/>
      </w:rPr>
      <w:t>2</w:t>
    </w:r>
    <w:r w:rsidR="00A51DDF">
      <w:rPr>
        <w:rFonts w:ascii="Arial" w:hAnsi="Arial" w:cs="Arial"/>
        <w:b/>
        <w:color w:val="FFFFFF"/>
        <w:sz w:val="24"/>
      </w:rPr>
      <w:t>-</w:t>
    </w:r>
    <w:r w:rsidR="00DE3ECD">
      <w:rPr>
        <w:rFonts w:ascii="Arial" w:hAnsi="Arial" w:cs="Arial"/>
        <w:b/>
        <w:color w:val="FFFFFF"/>
        <w:sz w:val="24"/>
      </w:rPr>
      <w:t>2</w:t>
    </w:r>
    <w:r w:rsidR="00667EA8">
      <w:rPr>
        <w:rFonts w:ascii="Arial" w:hAnsi="Arial" w:cs="Arial"/>
        <w:b/>
        <w:color w:val="FFFFFF"/>
        <w:sz w:val="24"/>
      </w:rPr>
      <w:t>3</w:t>
    </w:r>
    <w:r w:rsidR="008A3694" w:rsidRPr="00F97AAC">
      <w:rPr>
        <w:rFonts w:ascii="Arial" w:hAnsi="Arial" w:cs="Arial"/>
        <w:b/>
        <w:color w:val="FFFFFF"/>
        <w:sz w:val="24"/>
      </w:rPr>
      <w:t xml:space="preserve"> </w:t>
    </w:r>
    <w:r w:rsidR="00916740" w:rsidRPr="00F97AAC">
      <w:rPr>
        <w:rFonts w:ascii="Arial" w:hAnsi="Arial" w:cs="Arial"/>
        <w:b/>
        <w:color w:val="FFFFFF"/>
        <w:sz w:val="24"/>
      </w:rPr>
      <w:t>Human Services Grants</w:t>
    </w:r>
    <w:r w:rsidR="008A3694" w:rsidRPr="00F97AAC">
      <w:rPr>
        <w:rFonts w:ascii="Arial" w:hAnsi="Arial" w:cs="Arial"/>
        <w:b/>
        <w:color w:val="FFFFFF"/>
        <w:sz w:val="24"/>
      </w:rPr>
      <w:t xml:space="preserve"> Program</w:t>
    </w:r>
  </w:p>
  <w:p w14:paraId="1FCC61F7" w14:textId="7F67C8DD" w:rsidR="008A3694" w:rsidRPr="00F97AAC" w:rsidRDefault="00F97AAC"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4F15C7">
      <w:rPr>
        <w:rFonts w:ascii="Arial" w:hAnsi="Arial" w:cs="Arial"/>
        <w:b/>
        <w:noProof/>
        <w:color w:val="FFFFFF"/>
        <w:sz w:val="24"/>
      </w:rPr>
      <w:t>11</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9D7F4" w14:textId="77777777" w:rsidR="0053616E" w:rsidRDefault="0053616E">
      <w:r>
        <w:separator/>
      </w:r>
    </w:p>
  </w:footnote>
  <w:footnote w:type="continuationSeparator" w:id="0">
    <w:p w14:paraId="3DC7A1CC" w14:textId="77777777" w:rsidR="0053616E" w:rsidRDefault="0053616E">
      <w:r>
        <w:continuationSeparator/>
      </w:r>
    </w:p>
  </w:footnote>
  <w:footnote w:type="continuationNotice" w:id="1">
    <w:p w14:paraId="6D5410E1" w14:textId="77777777" w:rsidR="0053616E" w:rsidRDefault="005361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019F" w14:textId="77777777" w:rsidR="00975E84" w:rsidRDefault="00975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69715" w14:textId="77777777" w:rsidR="00975E84" w:rsidRDefault="00975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C631" w14:textId="77777777" w:rsidR="00975E84" w:rsidRDefault="00975E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83A3FA9"/>
    <w:multiLevelType w:val="hybridMultilevel"/>
    <w:tmpl w:val="77268416"/>
    <w:lvl w:ilvl="0" w:tplc="8BB07442">
      <w:start w:val="1"/>
      <w:numFmt w:val="bullet"/>
      <w:lvlText w:val=""/>
      <w:lvlJc w:val="left"/>
      <w:pPr>
        <w:ind w:left="1080" w:hanging="360"/>
      </w:pPr>
      <w:rPr>
        <w:rFonts w:ascii="Symbol" w:hAnsi="Symbol" w:hint="default"/>
      </w:rPr>
    </w:lvl>
    <w:lvl w:ilvl="1" w:tplc="86C806AE" w:tentative="1">
      <w:start w:val="1"/>
      <w:numFmt w:val="bullet"/>
      <w:lvlText w:val="o"/>
      <w:lvlJc w:val="left"/>
      <w:pPr>
        <w:ind w:left="1800" w:hanging="360"/>
      </w:pPr>
      <w:rPr>
        <w:rFonts w:ascii="Courier New" w:hAnsi="Courier New" w:hint="default"/>
      </w:rPr>
    </w:lvl>
    <w:lvl w:ilvl="2" w:tplc="854C52D6" w:tentative="1">
      <w:start w:val="1"/>
      <w:numFmt w:val="bullet"/>
      <w:lvlText w:val=""/>
      <w:lvlJc w:val="left"/>
      <w:pPr>
        <w:ind w:left="2520" w:hanging="360"/>
      </w:pPr>
      <w:rPr>
        <w:rFonts w:ascii="Wingdings" w:hAnsi="Wingdings" w:hint="default"/>
      </w:rPr>
    </w:lvl>
    <w:lvl w:ilvl="3" w:tplc="674A0E4C" w:tentative="1">
      <w:start w:val="1"/>
      <w:numFmt w:val="bullet"/>
      <w:lvlText w:val=""/>
      <w:lvlJc w:val="left"/>
      <w:pPr>
        <w:ind w:left="3240" w:hanging="360"/>
      </w:pPr>
      <w:rPr>
        <w:rFonts w:ascii="Symbol" w:hAnsi="Symbol" w:hint="default"/>
      </w:rPr>
    </w:lvl>
    <w:lvl w:ilvl="4" w:tplc="DC9E208A" w:tentative="1">
      <w:start w:val="1"/>
      <w:numFmt w:val="bullet"/>
      <w:lvlText w:val="o"/>
      <w:lvlJc w:val="left"/>
      <w:pPr>
        <w:ind w:left="3960" w:hanging="360"/>
      </w:pPr>
      <w:rPr>
        <w:rFonts w:ascii="Courier New" w:hAnsi="Courier New" w:hint="default"/>
      </w:rPr>
    </w:lvl>
    <w:lvl w:ilvl="5" w:tplc="B59EDE3E" w:tentative="1">
      <w:start w:val="1"/>
      <w:numFmt w:val="bullet"/>
      <w:lvlText w:val=""/>
      <w:lvlJc w:val="left"/>
      <w:pPr>
        <w:ind w:left="4680" w:hanging="360"/>
      </w:pPr>
      <w:rPr>
        <w:rFonts w:ascii="Wingdings" w:hAnsi="Wingdings" w:hint="default"/>
      </w:rPr>
    </w:lvl>
    <w:lvl w:ilvl="6" w:tplc="B0842BC6" w:tentative="1">
      <w:start w:val="1"/>
      <w:numFmt w:val="bullet"/>
      <w:lvlText w:val=""/>
      <w:lvlJc w:val="left"/>
      <w:pPr>
        <w:ind w:left="5400" w:hanging="360"/>
      </w:pPr>
      <w:rPr>
        <w:rFonts w:ascii="Symbol" w:hAnsi="Symbol" w:hint="default"/>
      </w:rPr>
    </w:lvl>
    <w:lvl w:ilvl="7" w:tplc="B3762E5C" w:tentative="1">
      <w:start w:val="1"/>
      <w:numFmt w:val="bullet"/>
      <w:lvlText w:val="o"/>
      <w:lvlJc w:val="left"/>
      <w:pPr>
        <w:ind w:left="6120" w:hanging="360"/>
      </w:pPr>
      <w:rPr>
        <w:rFonts w:ascii="Courier New" w:hAnsi="Courier New" w:hint="default"/>
      </w:rPr>
    </w:lvl>
    <w:lvl w:ilvl="8" w:tplc="C472E0DC" w:tentative="1">
      <w:start w:val="1"/>
      <w:numFmt w:val="bullet"/>
      <w:lvlText w:val=""/>
      <w:lvlJc w:val="left"/>
      <w:pPr>
        <w:ind w:left="6840" w:hanging="360"/>
      </w:pPr>
      <w:rPr>
        <w:rFonts w:ascii="Wingdings" w:hAnsi="Wingdings" w:hint="default"/>
      </w:rPr>
    </w:lvl>
  </w:abstractNum>
  <w:abstractNum w:abstractNumId="4" w15:restartNumberingAfterBreak="0">
    <w:nsid w:val="15021286"/>
    <w:multiLevelType w:val="hybridMultilevel"/>
    <w:tmpl w:val="C95EAD12"/>
    <w:lvl w:ilvl="0" w:tplc="34ECC634">
      <w:start w:val="1"/>
      <w:numFmt w:val="bullet"/>
      <w:lvlText w:val=""/>
      <w:lvlJc w:val="left"/>
      <w:pPr>
        <w:ind w:left="1080" w:hanging="360"/>
      </w:pPr>
      <w:rPr>
        <w:rFonts w:ascii="Symbol" w:hAnsi="Symbol" w:hint="default"/>
      </w:rPr>
    </w:lvl>
    <w:lvl w:ilvl="1" w:tplc="2D5CAEE2">
      <w:start w:val="1"/>
      <w:numFmt w:val="bullet"/>
      <w:lvlText w:val="o"/>
      <w:lvlJc w:val="left"/>
      <w:pPr>
        <w:ind w:left="1800" w:hanging="360"/>
      </w:pPr>
      <w:rPr>
        <w:rFonts w:ascii="Courier New" w:hAnsi="Courier New" w:hint="default"/>
      </w:rPr>
    </w:lvl>
    <w:lvl w:ilvl="2" w:tplc="C1124B92">
      <w:start w:val="1"/>
      <w:numFmt w:val="bullet"/>
      <w:lvlText w:val=""/>
      <w:lvlJc w:val="left"/>
      <w:pPr>
        <w:ind w:left="2520" w:hanging="360"/>
      </w:pPr>
      <w:rPr>
        <w:rFonts w:ascii="Wingdings" w:hAnsi="Wingdings" w:hint="default"/>
      </w:rPr>
    </w:lvl>
    <w:lvl w:ilvl="3" w:tplc="B7A48A86">
      <w:start w:val="1"/>
      <w:numFmt w:val="bullet"/>
      <w:lvlText w:val=""/>
      <w:lvlJc w:val="left"/>
      <w:pPr>
        <w:ind w:left="3240" w:hanging="360"/>
      </w:pPr>
      <w:rPr>
        <w:rFonts w:ascii="Symbol" w:hAnsi="Symbol" w:hint="default"/>
      </w:rPr>
    </w:lvl>
    <w:lvl w:ilvl="4" w:tplc="9C5A99D4">
      <w:start w:val="1"/>
      <w:numFmt w:val="bullet"/>
      <w:lvlText w:val="o"/>
      <w:lvlJc w:val="left"/>
      <w:pPr>
        <w:ind w:left="3960" w:hanging="360"/>
      </w:pPr>
      <w:rPr>
        <w:rFonts w:ascii="Courier New" w:hAnsi="Courier New" w:hint="default"/>
      </w:rPr>
    </w:lvl>
    <w:lvl w:ilvl="5" w:tplc="FF4CCBDE">
      <w:start w:val="1"/>
      <w:numFmt w:val="bullet"/>
      <w:lvlText w:val=""/>
      <w:lvlJc w:val="left"/>
      <w:pPr>
        <w:ind w:left="4680" w:hanging="360"/>
      </w:pPr>
      <w:rPr>
        <w:rFonts w:ascii="Wingdings" w:hAnsi="Wingdings" w:hint="default"/>
      </w:rPr>
    </w:lvl>
    <w:lvl w:ilvl="6" w:tplc="99E0CAC6">
      <w:start w:val="1"/>
      <w:numFmt w:val="bullet"/>
      <w:lvlText w:val=""/>
      <w:lvlJc w:val="left"/>
      <w:pPr>
        <w:ind w:left="5400" w:hanging="360"/>
      </w:pPr>
      <w:rPr>
        <w:rFonts w:ascii="Symbol" w:hAnsi="Symbol" w:hint="default"/>
      </w:rPr>
    </w:lvl>
    <w:lvl w:ilvl="7" w:tplc="B5F87380">
      <w:start w:val="1"/>
      <w:numFmt w:val="bullet"/>
      <w:lvlText w:val="o"/>
      <w:lvlJc w:val="left"/>
      <w:pPr>
        <w:ind w:left="6120" w:hanging="360"/>
      </w:pPr>
      <w:rPr>
        <w:rFonts w:ascii="Courier New" w:hAnsi="Courier New" w:hint="default"/>
      </w:rPr>
    </w:lvl>
    <w:lvl w:ilvl="8" w:tplc="594C1CAE">
      <w:start w:val="1"/>
      <w:numFmt w:val="bullet"/>
      <w:lvlText w:val=""/>
      <w:lvlJc w:val="left"/>
      <w:pPr>
        <w:ind w:left="6840" w:hanging="360"/>
      </w:pPr>
      <w:rPr>
        <w:rFonts w:ascii="Wingdings" w:hAnsi="Wingdings" w:hint="default"/>
      </w:rPr>
    </w:lvl>
  </w:abstractNum>
  <w:abstractNum w:abstractNumId="5" w15:restartNumberingAfterBreak="0">
    <w:nsid w:val="1E055C74"/>
    <w:multiLevelType w:val="hybridMultilevel"/>
    <w:tmpl w:val="1130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B00E68"/>
    <w:multiLevelType w:val="hybridMultilevel"/>
    <w:tmpl w:val="DE1EC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B4D1914"/>
    <w:multiLevelType w:val="hybridMultilevel"/>
    <w:tmpl w:val="EDEE8B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0"/>
  </w:num>
  <w:num w:numId="3">
    <w:abstractNumId w:val="12"/>
  </w:num>
  <w:num w:numId="4">
    <w:abstractNumId w:val="13"/>
  </w:num>
  <w:num w:numId="5">
    <w:abstractNumId w:val="6"/>
  </w:num>
  <w:num w:numId="6">
    <w:abstractNumId w:val="9"/>
  </w:num>
  <w:num w:numId="7">
    <w:abstractNumId w:val="7"/>
  </w:num>
  <w:num w:numId="8">
    <w:abstractNumId w:val="8"/>
  </w:num>
  <w:num w:numId="9">
    <w:abstractNumId w:val="0"/>
  </w:num>
  <w:num w:numId="10">
    <w:abstractNumId w:val="14"/>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UDirF03vW4GaqrhqwsVohkZ6RGR51tNQPfOaEhL8gyh0n1so9phX2KAj2j0TQmtVv/0qXi1/tddEcQW+LDZ8w==" w:salt="iQDawVxA4JV5KOhJg28i2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054ED"/>
    <w:rsid w:val="00010219"/>
    <w:rsid w:val="00010A02"/>
    <w:rsid w:val="00023B4E"/>
    <w:rsid w:val="00031B66"/>
    <w:rsid w:val="00036B45"/>
    <w:rsid w:val="000427D8"/>
    <w:rsid w:val="00057D82"/>
    <w:rsid w:val="000649AB"/>
    <w:rsid w:val="0006686C"/>
    <w:rsid w:val="00071CA8"/>
    <w:rsid w:val="00072FEE"/>
    <w:rsid w:val="00073932"/>
    <w:rsid w:val="00074739"/>
    <w:rsid w:val="00084501"/>
    <w:rsid w:val="00092300"/>
    <w:rsid w:val="00096E95"/>
    <w:rsid w:val="000A0D90"/>
    <w:rsid w:val="000A0DD0"/>
    <w:rsid w:val="000C593A"/>
    <w:rsid w:val="000D00C6"/>
    <w:rsid w:val="000D0462"/>
    <w:rsid w:val="000D6203"/>
    <w:rsid w:val="000D791F"/>
    <w:rsid w:val="000F252F"/>
    <w:rsid w:val="001003A7"/>
    <w:rsid w:val="00105DD0"/>
    <w:rsid w:val="00107C66"/>
    <w:rsid w:val="00112FB5"/>
    <w:rsid w:val="00116F52"/>
    <w:rsid w:val="0011786F"/>
    <w:rsid w:val="001375C7"/>
    <w:rsid w:val="001403EB"/>
    <w:rsid w:val="00142E47"/>
    <w:rsid w:val="0014535D"/>
    <w:rsid w:val="00147ACE"/>
    <w:rsid w:val="00150071"/>
    <w:rsid w:val="00154DE6"/>
    <w:rsid w:val="0015736F"/>
    <w:rsid w:val="00184580"/>
    <w:rsid w:val="00196ED6"/>
    <w:rsid w:val="001A0B2A"/>
    <w:rsid w:val="001A228E"/>
    <w:rsid w:val="001A2CEE"/>
    <w:rsid w:val="001A585B"/>
    <w:rsid w:val="001C53E1"/>
    <w:rsid w:val="001D51B9"/>
    <w:rsid w:val="001D6D0C"/>
    <w:rsid w:val="001E2081"/>
    <w:rsid w:val="001E2D62"/>
    <w:rsid w:val="001F0618"/>
    <w:rsid w:val="001F5ABD"/>
    <w:rsid w:val="001F7B08"/>
    <w:rsid w:val="00207187"/>
    <w:rsid w:val="00214DE8"/>
    <w:rsid w:val="00220DB9"/>
    <w:rsid w:val="00223BCA"/>
    <w:rsid w:val="002257DA"/>
    <w:rsid w:val="00232788"/>
    <w:rsid w:val="00240F54"/>
    <w:rsid w:val="00273CEB"/>
    <w:rsid w:val="00274947"/>
    <w:rsid w:val="002752B5"/>
    <w:rsid w:val="00281F80"/>
    <w:rsid w:val="002827C8"/>
    <w:rsid w:val="00287754"/>
    <w:rsid w:val="002A2A24"/>
    <w:rsid w:val="002A6257"/>
    <w:rsid w:val="002B382B"/>
    <w:rsid w:val="002B697F"/>
    <w:rsid w:val="002C2AF7"/>
    <w:rsid w:val="002D19DE"/>
    <w:rsid w:val="002D253A"/>
    <w:rsid w:val="002D29CC"/>
    <w:rsid w:val="002D679C"/>
    <w:rsid w:val="00301CD9"/>
    <w:rsid w:val="00311E1F"/>
    <w:rsid w:val="00312934"/>
    <w:rsid w:val="0033463C"/>
    <w:rsid w:val="00336A3B"/>
    <w:rsid w:val="00343095"/>
    <w:rsid w:val="00345380"/>
    <w:rsid w:val="003503D4"/>
    <w:rsid w:val="00356A1C"/>
    <w:rsid w:val="00360132"/>
    <w:rsid w:val="0038119B"/>
    <w:rsid w:val="00384FFC"/>
    <w:rsid w:val="0038584A"/>
    <w:rsid w:val="00385BB6"/>
    <w:rsid w:val="00387FBA"/>
    <w:rsid w:val="003B4C32"/>
    <w:rsid w:val="003C21BA"/>
    <w:rsid w:val="003C3283"/>
    <w:rsid w:val="003F73C2"/>
    <w:rsid w:val="004005B1"/>
    <w:rsid w:val="004008FB"/>
    <w:rsid w:val="00407667"/>
    <w:rsid w:val="004112F0"/>
    <w:rsid w:val="00413E09"/>
    <w:rsid w:val="004536FC"/>
    <w:rsid w:val="00457F1F"/>
    <w:rsid w:val="00461D4F"/>
    <w:rsid w:val="00467E2B"/>
    <w:rsid w:val="00475316"/>
    <w:rsid w:val="0047716F"/>
    <w:rsid w:val="00480C95"/>
    <w:rsid w:val="004812B8"/>
    <w:rsid w:val="004815F9"/>
    <w:rsid w:val="00495B97"/>
    <w:rsid w:val="004974FD"/>
    <w:rsid w:val="004A520F"/>
    <w:rsid w:val="004B0B88"/>
    <w:rsid w:val="004B2A13"/>
    <w:rsid w:val="004B3CBC"/>
    <w:rsid w:val="004B5247"/>
    <w:rsid w:val="004C0103"/>
    <w:rsid w:val="004C160C"/>
    <w:rsid w:val="004C3B28"/>
    <w:rsid w:val="004C7792"/>
    <w:rsid w:val="004D33AB"/>
    <w:rsid w:val="004D545D"/>
    <w:rsid w:val="004D669F"/>
    <w:rsid w:val="004E2AD3"/>
    <w:rsid w:val="004F08F9"/>
    <w:rsid w:val="004F15C7"/>
    <w:rsid w:val="004F6026"/>
    <w:rsid w:val="00503BD7"/>
    <w:rsid w:val="005073AF"/>
    <w:rsid w:val="0051201C"/>
    <w:rsid w:val="00523BF3"/>
    <w:rsid w:val="00530EF8"/>
    <w:rsid w:val="00535575"/>
    <w:rsid w:val="0053616E"/>
    <w:rsid w:val="005555E0"/>
    <w:rsid w:val="00561EC8"/>
    <w:rsid w:val="005625C3"/>
    <w:rsid w:val="00570D85"/>
    <w:rsid w:val="005713E2"/>
    <w:rsid w:val="00573256"/>
    <w:rsid w:val="00595019"/>
    <w:rsid w:val="005A5A56"/>
    <w:rsid w:val="005A7B83"/>
    <w:rsid w:val="005B6277"/>
    <w:rsid w:val="005C303F"/>
    <w:rsid w:val="005C384E"/>
    <w:rsid w:val="005C398E"/>
    <w:rsid w:val="005C3BEA"/>
    <w:rsid w:val="005D236A"/>
    <w:rsid w:val="005E68CF"/>
    <w:rsid w:val="005F0249"/>
    <w:rsid w:val="005F4D91"/>
    <w:rsid w:val="00601825"/>
    <w:rsid w:val="00602155"/>
    <w:rsid w:val="006113D2"/>
    <w:rsid w:val="006215D2"/>
    <w:rsid w:val="006221AE"/>
    <w:rsid w:val="006237ED"/>
    <w:rsid w:val="0062632F"/>
    <w:rsid w:val="0063393A"/>
    <w:rsid w:val="00646F13"/>
    <w:rsid w:val="00647C65"/>
    <w:rsid w:val="00662D90"/>
    <w:rsid w:val="00665614"/>
    <w:rsid w:val="00667EA8"/>
    <w:rsid w:val="00672AB8"/>
    <w:rsid w:val="00682652"/>
    <w:rsid w:val="00682886"/>
    <w:rsid w:val="00683C34"/>
    <w:rsid w:val="0068461E"/>
    <w:rsid w:val="00685515"/>
    <w:rsid w:val="006904A6"/>
    <w:rsid w:val="00691214"/>
    <w:rsid w:val="006914D6"/>
    <w:rsid w:val="00694D7F"/>
    <w:rsid w:val="00695545"/>
    <w:rsid w:val="00696AFE"/>
    <w:rsid w:val="006A30B4"/>
    <w:rsid w:val="006A4CFF"/>
    <w:rsid w:val="006A5F78"/>
    <w:rsid w:val="006B33CC"/>
    <w:rsid w:val="006B4A76"/>
    <w:rsid w:val="006B7946"/>
    <w:rsid w:val="006B7F30"/>
    <w:rsid w:val="006C151B"/>
    <w:rsid w:val="006C75F8"/>
    <w:rsid w:val="006D03A9"/>
    <w:rsid w:val="006E6CB8"/>
    <w:rsid w:val="006E7836"/>
    <w:rsid w:val="006F3506"/>
    <w:rsid w:val="006F4097"/>
    <w:rsid w:val="00701FB2"/>
    <w:rsid w:val="00702468"/>
    <w:rsid w:val="00706F5B"/>
    <w:rsid w:val="00716911"/>
    <w:rsid w:val="00716D3E"/>
    <w:rsid w:val="007243F3"/>
    <w:rsid w:val="00724953"/>
    <w:rsid w:val="007256EB"/>
    <w:rsid w:val="00730113"/>
    <w:rsid w:val="00733486"/>
    <w:rsid w:val="00745CBD"/>
    <w:rsid w:val="007464C5"/>
    <w:rsid w:val="00751762"/>
    <w:rsid w:val="00764538"/>
    <w:rsid w:val="00765558"/>
    <w:rsid w:val="007668AF"/>
    <w:rsid w:val="007708F1"/>
    <w:rsid w:val="00771C80"/>
    <w:rsid w:val="0077729D"/>
    <w:rsid w:val="00787298"/>
    <w:rsid w:val="007947AD"/>
    <w:rsid w:val="00797370"/>
    <w:rsid w:val="007B0EAD"/>
    <w:rsid w:val="007C0726"/>
    <w:rsid w:val="007D3B4E"/>
    <w:rsid w:val="007E2F35"/>
    <w:rsid w:val="007E4954"/>
    <w:rsid w:val="007E73C3"/>
    <w:rsid w:val="007E73F4"/>
    <w:rsid w:val="007F7596"/>
    <w:rsid w:val="00800215"/>
    <w:rsid w:val="008013DA"/>
    <w:rsid w:val="00813A82"/>
    <w:rsid w:val="00822FD7"/>
    <w:rsid w:val="00827EF8"/>
    <w:rsid w:val="0083488D"/>
    <w:rsid w:val="00837E7E"/>
    <w:rsid w:val="0084269F"/>
    <w:rsid w:val="00842F67"/>
    <w:rsid w:val="00843D48"/>
    <w:rsid w:val="00855B5F"/>
    <w:rsid w:val="0086217B"/>
    <w:rsid w:val="008656CE"/>
    <w:rsid w:val="00874BF4"/>
    <w:rsid w:val="0088465B"/>
    <w:rsid w:val="008864F2"/>
    <w:rsid w:val="00886E5A"/>
    <w:rsid w:val="0089353F"/>
    <w:rsid w:val="008A01EE"/>
    <w:rsid w:val="008A2AF5"/>
    <w:rsid w:val="008A3694"/>
    <w:rsid w:val="008B1337"/>
    <w:rsid w:val="008B71F0"/>
    <w:rsid w:val="008C30F0"/>
    <w:rsid w:val="008D7287"/>
    <w:rsid w:val="008E3960"/>
    <w:rsid w:val="008E4487"/>
    <w:rsid w:val="008E54B0"/>
    <w:rsid w:val="008F67FE"/>
    <w:rsid w:val="0090115A"/>
    <w:rsid w:val="00910CED"/>
    <w:rsid w:val="0091377E"/>
    <w:rsid w:val="00913CC6"/>
    <w:rsid w:val="00916740"/>
    <w:rsid w:val="00917909"/>
    <w:rsid w:val="00925583"/>
    <w:rsid w:val="009341CE"/>
    <w:rsid w:val="0094026D"/>
    <w:rsid w:val="0095241B"/>
    <w:rsid w:val="0096458E"/>
    <w:rsid w:val="00965C3B"/>
    <w:rsid w:val="00966311"/>
    <w:rsid w:val="00971A32"/>
    <w:rsid w:val="00973888"/>
    <w:rsid w:val="00975E84"/>
    <w:rsid w:val="00977FF0"/>
    <w:rsid w:val="009828FE"/>
    <w:rsid w:val="00984220"/>
    <w:rsid w:val="009A01AA"/>
    <w:rsid w:val="009A74D7"/>
    <w:rsid w:val="009B758F"/>
    <w:rsid w:val="009C0022"/>
    <w:rsid w:val="009C5560"/>
    <w:rsid w:val="009D44AF"/>
    <w:rsid w:val="009D7F05"/>
    <w:rsid w:val="009E25A3"/>
    <w:rsid w:val="009E4005"/>
    <w:rsid w:val="009F7655"/>
    <w:rsid w:val="00A02D1F"/>
    <w:rsid w:val="00A05091"/>
    <w:rsid w:val="00A06050"/>
    <w:rsid w:val="00A15FDD"/>
    <w:rsid w:val="00A30D21"/>
    <w:rsid w:val="00A3154A"/>
    <w:rsid w:val="00A36EB0"/>
    <w:rsid w:val="00A46292"/>
    <w:rsid w:val="00A47B45"/>
    <w:rsid w:val="00A51DDF"/>
    <w:rsid w:val="00A56F56"/>
    <w:rsid w:val="00A572B1"/>
    <w:rsid w:val="00A65FD8"/>
    <w:rsid w:val="00A75424"/>
    <w:rsid w:val="00A81150"/>
    <w:rsid w:val="00A82F9E"/>
    <w:rsid w:val="00AB1E64"/>
    <w:rsid w:val="00AB3727"/>
    <w:rsid w:val="00AC15AF"/>
    <w:rsid w:val="00AC1F84"/>
    <w:rsid w:val="00AC24E9"/>
    <w:rsid w:val="00AC5951"/>
    <w:rsid w:val="00AD79D4"/>
    <w:rsid w:val="00AF0EA2"/>
    <w:rsid w:val="00B10B84"/>
    <w:rsid w:val="00B23FF2"/>
    <w:rsid w:val="00B3208B"/>
    <w:rsid w:val="00B405F5"/>
    <w:rsid w:val="00B40EA6"/>
    <w:rsid w:val="00B46717"/>
    <w:rsid w:val="00B623C6"/>
    <w:rsid w:val="00B63CFC"/>
    <w:rsid w:val="00B64078"/>
    <w:rsid w:val="00B66994"/>
    <w:rsid w:val="00B754AF"/>
    <w:rsid w:val="00B80B12"/>
    <w:rsid w:val="00B826E1"/>
    <w:rsid w:val="00B8678F"/>
    <w:rsid w:val="00BA092F"/>
    <w:rsid w:val="00BB3E85"/>
    <w:rsid w:val="00BB4E27"/>
    <w:rsid w:val="00BC2B08"/>
    <w:rsid w:val="00BC5CA7"/>
    <w:rsid w:val="00BF7E36"/>
    <w:rsid w:val="00C03DC2"/>
    <w:rsid w:val="00C07D9E"/>
    <w:rsid w:val="00C14611"/>
    <w:rsid w:val="00C15A48"/>
    <w:rsid w:val="00C201E7"/>
    <w:rsid w:val="00C27276"/>
    <w:rsid w:val="00C53543"/>
    <w:rsid w:val="00C6470A"/>
    <w:rsid w:val="00C65D55"/>
    <w:rsid w:val="00C70238"/>
    <w:rsid w:val="00C7112E"/>
    <w:rsid w:val="00C71290"/>
    <w:rsid w:val="00C7250D"/>
    <w:rsid w:val="00C74BB2"/>
    <w:rsid w:val="00C8173D"/>
    <w:rsid w:val="00C8409E"/>
    <w:rsid w:val="00C96653"/>
    <w:rsid w:val="00CA5F0D"/>
    <w:rsid w:val="00CB038B"/>
    <w:rsid w:val="00CB39AD"/>
    <w:rsid w:val="00CB3DAF"/>
    <w:rsid w:val="00CD29B4"/>
    <w:rsid w:val="00CE25E3"/>
    <w:rsid w:val="00CE5FE8"/>
    <w:rsid w:val="00D008FE"/>
    <w:rsid w:val="00D04009"/>
    <w:rsid w:val="00D04539"/>
    <w:rsid w:val="00D15AC6"/>
    <w:rsid w:val="00D25DB7"/>
    <w:rsid w:val="00D27C92"/>
    <w:rsid w:val="00D34B6B"/>
    <w:rsid w:val="00D4152E"/>
    <w:rsid w:val="00D41D04"/>
    <w:rsid w:val="00D45014"/>
    <w:rsid w:val="00D5096E"/>
    <w:rsid w:val="00D50D8F"/>
    <w:rsid w:val="00D544B3"/>
    <w:rsid w:val="00D65E16"/>
    <w:rsid w:val="00D70008"/>
    <w:rsid w:val="00D7571B"/>
    <w:rsid w:val="00D856BF"/>
    <w:rsid w:val="00D9076C"/>
    <w:rsid w:val="00D9693C"/>
    <w:rsid w:val="00DA334B"/>
    <w:rsid w:val="00DA7553"/>
    <w:rsid w:val="00DC50FE"/>
    <w:rsid w:val="00DC6F2A"/>
    <w:rsid w:val="00DC7F05"/>
    <w:rsid w:val="00DE230B"/>
    <w:rsid w:val="00DE3ECD"/>
    <w:rsid w:val="00DF0295"/>
    <w:rsid w:val="00DF193E"/>
    <w:rsid w:val="00DF3B2C"/>
    <w:rsid w:val="00E00082"/>
    <w:rsid w:val="00E10B51"/>
    <w:rsid w:val="00E26D0F"/>
    <w:rsid w:val="00E31620"/>
    <w:rsid w:val="00E325CD"/>
    <w:rsid w:val="00E332A6"/>
    <w:rsid w:val="00E34FB4"/>
    <w:rsid w:val="00E40A58"/>
    <w:rsid w:val="00E554AC"/>
    <w:rsid w:val="00E7253E"/>
    <w:rsid w:val="00E804C4"/>
    <w:rsid w:val="00E85348"/>
    <w:rsid w:val="00EA19F1"/>
    <w:rsid w:val="00EA4A27"/>
    <w:rsid w:val="00EB434E"/>
    <w:rsid w:val="00EE4BA8"/>
    <w:rsid w:val="00F019AD"/>
    <w:rsid w:val="00F024B7"/>
    <w:rsid w:val="00F06431"/>
    <w:rsid w:val="00F10DDB"/>
    <w:rsid w:val="00F117A0"/>
    <w:rsid w:val="00F22C7D"/>
    <w:rsid w:val="00F23638"/>
    <w:rsid w:val="00F36446"/>
    <w:rsid w:val="00F430E0"/>
    <w:rsid w:val="00F437FC"/>
    <w:rsid w:val="00F45014"/>
    <w:rsid w:val="00F46A6A"/>
    <w:rsid w:val="00F5624D"/>
    <w:rsid w:val="00F6218B"/>
    <w:rsid w:val="00F63043"/>
    <w:rsid w:val="00F64AC9"/>
    <w:rsid w:val="00F65407"/>
    <w:rsid w:val="00F671F9"/>
    <w:rsid w:val="00F67C4C"/>
    <w:rsid w:val="00F71A50"/>
    <w:rsid w:val="00F75E8B"/>
    <w:rsid w:val="00F82152"/>
    <w:rsid w:val="00F830B1"/>
    <w:rsid w:val="00F851D6"/>
    <w:rsid w:val="00F91277"/>
    <w:rsid w:val="00F954CB"/>
    <w:rsid w:val="00F97372"/>
    <w:rsid w:val="00F97AAC"/>
    <w:rsid w:val="00FA1C65"/>
    <w:rsid w:val="00FA3B38"/>
    <w:rsid w:val="00FB4403"/>
    <w:rsid w:val="00FB50E7"/>
    <w:rsid w:val="00FB6058"/>
    <w:rsid w:val="00FB774B"/>
    <w:rsid w:val="00FC1ED0"/>
    <w:rsid w:val="00FC6CA1"/>
    <w:rsid w:val="00FC6CBD"/>
    <w:rsid w:val="00FC778E"/>
    <w:rsid w:val="00FD11B9"/>
    <w:rsid w:val="00FD274C"/>
    <w:rsid w:val="00FD7085"/>
    <w:rsid w:val="00FD7F51"/>
    <w:rsid w:val="00FE70C1"/>
    <w:rsid w:val="041E75B5"/>
    <w:rsid w:val="06A4256D"/>
    <w:rsid w:val="0B082929"/>
    <w:rsid w:val="0CE24527"/>
    <w:rsid w:val="0D966E00"/>
    <w:rsid w:val="0FC6683E"/>
    <w:rsid w:val="138BE4B7"/>
    <w:rsid w:val="14BA1DA9"/>
    <w:rsid w:val="16B9CA19"/>
    <w:rsid w:val="199AED7A"/>
    <w:rsid w:val="19CC37A2"/>
    <w:rsid w:val="25F33A09"/>
    <w:rsid w:val="2CCC8278"/>
    <w:rsid w:val="2FA166CA"/>
    <w:rsid w:val="372682E1"/>
    <w:rsid w:val="39889754"/>
    <w:rsid w:val="4948BC58"/>
    <w:rsid w:val="4B8013E0"/>
    <w:rsid w:val="517ED22F"/>
    <w:rsid w:val="519E69FC"/>
    <w:rsid w:val="5582491C"/>
    <w:rsid w:val="56982E77"/>
    <w:rsid w:val="57D86FA7"/>
    <w:rsid w:val="5C752590"/>
    <w:rsid w:val="5F660A4D"/>
    <w:rsid w:val="64F6C802"/>
    <w:rsid w:val="692BD4CF"/>
    <w:rsid w:val="6C185DD5"/>
    <w:rsid w:val="763AE14C"/>
    <w:rsid w:val="783A8DBC"/>
    <w:rsid w:val="78E9B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9C39191"/>
  <w15:chartTrackingRefBased/>
  <w15:docId w15:val="{32D0C504-DEC1-464A-980E-E954A309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marknbawojzk3">
    <w:name w:val="marknbawojzk3"/>
    <w:basedOn w:val="DefaultParagraphFont"/>
    <w:rsid w:val="00E00082"/>
  </w:style>
  <w:style w:type="paragraph" w:styleId="ListParagraph">
    <w:name w:val="List Paragraph"/>
    <w:basedOn w:val="Normal"/>
    <w:uiPriority w:val="34"/>
    <w:qFormat/>
    <w:rsid w:val="009C00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779184909">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UserInfo>
        <DisplayName>Elizabeth Scharetg</DisplayName>
        <AccountId>92</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A7699D03-FCD6-4DA7-94DF-C97FA0E4410C}">
  <ds:schemaRefs>
    <ds:schemaRef ds:uri="http://schemas.openxmlformats.org/officeDocument/2006/bibliography"/>
  </ds:schemaRefs>
</ds:datastoreItem>
</file>

<file path=customXml/itemProps4.xml><?xml version="1.0" encoding="utf-8"?>
<ds:datastoreItem xmlns:ds="http://schemas.openxmlformats.org/officeDocument/2006/customXml" ds:itemID="{68C66373-865E-458C-B67B-AE5123C7A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3388</Words>
  <Characters>19318</Characters>
  <Application>Microsoft Office Word</Application>
  <DocSecurity>8</DocSecurity>
  <Lines>160</Lines>
  <Paragraphs>45</Paragraphs>
  <ScaleCrop>false</ScaleCrop>
  <Company>City Of Santa Monica</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77</cp:revision>
  <cp:lastPrinted>2015-09-17T16:45:00Z</cp:lastPrinted>
  <dcterms:created xsi:type="dcterms:W3CDTF">2023-07-20T15:13:00Z</dcterms:created>
  <dcterms:modified xsi:type="dcterms:W3CDTF">2023-12-21T21:18:00Z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