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65033BF9">
      <w:pPr>
        <w:pStyle w:val="Caption"/>
        <w:tabs>
          <w:tab w:val="clear" w:pos="5040"/>
        </w:tabs>
        <w:ind w:firstLine="720"/>
        <w:jc w:val="center"/>
        <w:rPr>
          <w:rFonts w:ascii="Arial" w:hAnsi="Arial"/>
          <w:sz w:val="28"/>
          <w:szCs w:val="28"/>
        </w:rPr>
      </w:pPr>
      <w:r w:rsidRPr="00D4152E">
        <w:rPr>
          <w:rFonts w:ascii="Arial" w:hAnsi="Arial" w:hint="eastAsia"/>
          <w:noProof/>
          <w:sz w:val="28"/>
        </w:rPr>
        <mc:AlternateContent>
          <mc:Choice Requires="wps">
            <w:drawing>
              <wp:anchor distT="0" distB="0" distL="114300" distR="114300" simplePos="0" relativeHeight="251658243"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B742"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C6yQEAAHc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E703"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55860F08" w:rsidR="00240F54" w:rsidRDefault="007F06B7" w:rsidP="004812B8">
      <w:pPr>
        <w:rPr>
          <w:rFonts w:ascii="Arial" w:hAnsi="Arial"/>
          <w:sz w:val="21"/>
        </w:rPr>
      </w:pPr>
      <w:r w:rsidRPr="007F06B7">
        <w:rPr>
          <w:rFonts w:ascii="Arial" w:hAnsi="Arial"/>
          <w:noProof/>
          <w:sz w:val="22"/>
          <w:szCs w:val="22"/>
        </w:rPr>
        <mc:AlternateContent>
          <mc:Choice Requires="wps">
            <w:drawing>
              <wp:anchor distT="45720" distB="45720" distL="114300" distR="114300" simplePos="0" relativeHeight="251658242" behindDoc="0" locked="0" layoutInCell="1" allowOverlap="1" wp14:anchorId="62835553" wp14:editId="559171DC">
                <wp:simplePos x="0" y="0"/>
                <wp:positionH relativeFrom="column">
                  <wp:posOffset>1924050</wp:posOffset>
                </wp:positionH>
                <wp:positionV relativeFrom="paragraph">
                  <wp:posOffset>88265</wp:posOffset>
                </wp:positionV>
                <wp:extent cx="2695575" cy="25717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noFill/>
                        <a:ln w="9525">
                          <a:noFill/>
                          <a:miter lim="800000"/>
                          <a:headEnd/>
                          <a:tailEnd/>
                        </a:ln>
                      </wps:spPr>
                      <wps:txbx>
                        <w:txbxContent>
                          <w:p w14:paraId="49177B1F" w14:textId="0AEB42DB" w:rsidR="007F06B7" w:rsidRDefault="007F06B7">
                            <w:r>
                              <w:t>St. Joseph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35553" id="_x0000_t202" coordsize="21600,21600" o:spt="202" path="m,l,21600r21600,l21600,xe">
                <v:stroke joinstyle="miter"/>
                <v:path gradientshapeok="t" o:connecttype="rect"/>
              </v:shapetype>
              <v:shape id="Text Box 217" o:spid="_x0000_s1026" type="#_x0000_t202" style="position:absolute;margin-left:151.5pt;margin-top:6.95pt;width:212.25pt;height:20.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" filled="f" stroked="f">
                <v:textbox>
                  <w:txbxContent>
                    <w:p w14:paraId="49177B1F" w14:textId="0AEB42DB" w:rsidR="007F06B7" w:rsidRDefault="007F06B7">
                      <w:r>
                        <w:t>St. Joseph Center</w:t>
                      </w:r>
                    </w:p>
                  </w:txbxContent>
                </v:textbox>
              </v:shape>
            </w:pict>
          </mc:Fallback>
        </mc:AlternateContent>
      </w:r>
    </w:p>
    <w:p w14:paraId="7CDF245B" w14:textId="629D5D32"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4A0D38FB" w:rsidR="007D3B4E" w:rsidRDefault="007F06B7" w:rsidP="00F97372">
      <w:pPr>
        <w:tabs>
          <w:tab w:val="left" w:pos="-1440"/>
        </w:tabs>
        <w:ind w:left="2160" w:hanging="2160"/>
        <w:jc w:val="center"/>
        <w:rPr>
          <w:rFonts w:ascii="Arial" w:hAnsi="Arial"/>
          <w:sz w:val="22"/>
          <w:szCs w:val="22"/>
        </w:rPr>
      </w:pPr>
      <w:r w:rsidRPr="007F06B7">
        <w:rPr>
          <w:rFonts w:ascii="Arial" w:hAnsi="Arial"/>
          <w:noProof/>
          <w:sz w:val="22"/>
          <w:szCs w:val="22"/>
        </w:rPr>
        <mc:AlternateContent>
          <mc:Choice Requires="wps">
            <w:drawing>
              <wp:anchor distT="45720" distB="45720" distL="114300" distR="114300" simplePos="0" relativeHeight="251658244" behindDoc="0" locked="0" layoutInCell="1" allowOverlap="1" wp14:anchorId="248AA3E5" wp14:editId="464AC03C">
                <wp:simplePos x="0" y="0"/>
                <wp:positionH relativeFrom="column">
                  <wp:posOffset>1924050</wp:posOffset>
                </wp:positionH>
                <wp:positionV relativeFrom="paragraph">
                  <wp:posOffset>107950</wp:posOffset>
                </wp:positionV>
                <wp:extent cx="2695575" cy="257175"/>
                <wp:effectExtent l="0" t="0" r="0" b="0"/>
                <wp:wrapNone/>
                <wp:docPr id="1636935625" name="Text Box 163693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noFill/>
                        <a:ln w="9525">
                          <a:noFill/>
                          <a:miter lim="800000"/>
                          <a:headEnd/>
                          <a:tailEnd/>
                        </a:ln>
                      </wps:spPr>
                      <wps:txbx>
                        <w:txbxContent>
                          <w:p w14:paraId="0415E467" w14:textId="35605DAC" w:rsidR="007F06B7" w:rsidRDefault="007F06B7" w:rsidP="007F06B7">
                            <w:r>
                              <w:t>SM Retention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AA3E5" id="Text Box 1636935625" o:spid="_x0000_s1027" type="#_x0000_t202" style="position:absolute;left:0;text-align:left;margin-left:151.5pt;margin-top:8.5pt;width:212.25pt;height:2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" filled="f" stroked="f">
                <v:textbox>
                  <w:txbxContent>
                    <w:p w14:paraId="0415E467" w14:textId="35605DAC" w:rsidR="007F06B7" w:rsidRDefault="007F06B7" w:rsidP="007F06B7">
                      <w:r>
                        <w:t>SM Retention</w:t>
                      </w:r>
                    </w:p>
                  </w:txbxContent>
                </v:textbox>
              </v:shape>
            </w:pict>
          </mc:Fallback>
        </mc:AlternateContent>
      </w:r>
    </w:p>
    <w:p w14:paraId="0BAF233F" w14:textId="46730D3C"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48A57208" w:rsidR="001375C7" w:rsidRPr="00C74BB2" w:rsidRDefault="00446DB3"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227226ED" w14:textId="77777777" w:rsidR="006F4097" w:rsidRPr="006F4097" w:rsidRDefault="006F4097" w:rsidP="006F4097"/>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60E4FB47" w14:textId="4530CBF8" w:rsidR="00C6470A" w:rsidRDefault="00C6470A" w:rsidP="00C6470A">
      <w:pPr>
        <w:rPr>
          <w:rFonts w:ascii="Arial" w:hAnsi="Arial"/>
          <w:sz w:val="21"/>
        </w:rPr>
      </w:pPr>
    </w:p>
    <w:p w14:paraId="7C0DCBB2" w14:textId="77777777" w:rsidR="00667EA8" w:rsidRPr="00C6470A" w:rsidRDefault="00667EA8"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7D5BF60B" w:rsidP="65033BF9">
      <w:pPr>
        <w:pStyle w:val="BodyText2"/>
        <w:rPr>
          <w:i w:val="0"/>
        </w:rPr>
      </w:pPr>
      <w:r w:rsidRPr="65033BF9">
        <w:rPr>
          <w:i w:val="0"/>
        </w:rPr>
        <w:t>Provide a brief summary of your program accomplishments, challenges</w:t>
      </w:r>
      <w:r w:rsidR="3604F40C" w:rsidRPr="65033BF9">
        <w:rPr>
          <w:i w:val="0"/>
        </w:rPr>
        <w:t>,</w:t>
      </w:r>
      <w:r w:rsidRPr="65033BF9">
        <w:rPr>
          <w:i w:val="0"/>
        </w:rPr>
        <w:t xml:space="preserve"> and changes that occurre</w:t>
      </w:r>
      <w:r w:rsidR="080ACAFE" w:rsidRPr="65033BF9">
        <w:rPr>
          <w:i w:val="0"/>
        </w:rPr>
        <w:t xml:space="preserve">d during the reporting period. </w:t>
      </w:r>
      <w:r w:rsidRPr="65033BF9">
        <w:rPr>
          <w:i w:val="0"/>
        </w:rPr>
        <w:t xml:space="preserve">Please also provide information or observations related to population or service trends. </w:t>
      </w:r>
    </w:p>
    <w:p w14:paraId="0CF844CC" w14:textId="0F311D26" w:rsidR="65033BF9" w:rsidRDefault="65033BF9" w:rsidP="65033BF9">
      <w:pPr>
        <w:pStyle w:val="BodyText2"/>
        <w:rPr>
          <w:i w:val="0"/>
        </w:rPr>
      </w:pPr>
    </w:p>
    <w:p w14:paraId="7D326C61" w14:textId="0C21AC29" w:rsidR="5722FF13" w:rsidRDefault="5722FF13" w:rsidP="65033BF9">
      <w:pPr>
        <w:jc w:val="both"/>
      </w:pPr>
      <w:r w:rsidRPr="65033BF9">
        <w:rPr>
          <w:rFonts w:ascii="Arial" w:eastAsia="Arial" w:hAnsi="Arial" w:cs="Arial"/>
          <w:color w:val="000000" w:themeColor="text1"/>
          <w:sz w:val="21"/>
          <w:szCs w:val="21"/>
        </w:rPr>
        <w:t xml:space="preserve">St. Joseph Center’s SM Retention program served 169 </w:t>
      </w:r>
      <w:r w:rsidR="009F5A56">
        <w:rPr>
          <w:rFonts w:ascii="Arial" w:eastAsia="Arial" w:hAnsi="Arial" w:cs="Arial"/>
          <w:color w:val="000000" w:themeColor="text1"/>
          <w:sz w:val="21"/>
          <w:szCs w:val="21"/>
        </w:rPr>
        <w:t xml:space="preserve">adult </w:t>
      </w:r>
      <w:r w:rsidRPr="65033BF9">
        <w:rPr>
          <w:rFonts w:ascii="Arial" w:eastAsia="Arial" w:hAnsi="Arial" w:cs="Arial"/>
          <w:color w:val="000000" w:themeColor="text1"/>
          <w:sz w:val="21"/>
          <w:szCs w:val="21"/>
        </w:rPr>
        <w:t>individuals living in 150 households during this reporting period. These households also included 10 children under the age of 18. Since July 1, 2022, the program has received 54 referrals and enrolled 49 new participants. During the reporting period, 1</w:t>
      </w:r>
      <w:r w:rsidR="00D3218E">
        <w:rPr>
          <w:rFonts w:ascii="Arial" w:eastAsia="Arial" w:hAnsi="Arial" w:cs="Arial"/>
          <w:color w:val="000000" w:themeColor="text1"/>
          <w:sz w:val="21"/>
          <w:szCs w:val="21"/>
        </w:rPr>
        <w:t>6</w:t>
      </w:r>
      <w:r w:rsidRPr="65033BF9">
        <w:rPr>
          <w:rFonts w:ascii="Arial" w:eastAsia="Arial" w:hAnsi="Arial" w:cs="Arial"/>
          <w:color w:val="000000" w:themeColor="text1"/>
          <w:sz w:val="21"/>
          <w:szCs w:val="21"/>
        </w:rPr>
        <w:t xml:space="preserve"> individuals and 1 child left the program. These 1</w:t>
      </w:r>
      <w:r w:rsidR="00D3218E">
        <w:rPr>
          <w:rFonts w:ascii="Arial" w:eastAsia="Arial" w:hAnsi="Arial" w:cs="Arial"/>
          <w:color w:val="000000" w:themeColor="text1"/>
          <w:sz w:val="21"/>
          <w:szCs w:val="21"/>
        </w:rPr>
        <w:t>6</w:t>
      </w:r>
      <w:r w:rsidRPr="65033BF9">
        <w:rPr>
          <w:rFonts w:ascii="Arial" w:eastAsia="Arial" w:hAnsi="Arial" w:cs="Arial"/>
          <w:color w:val="000000" w:themeColor="text1"/>
          <w:sz w:val="21"/>
          <w:szCs w:val="21"/>
        </w:rPr>
        <w:t xml:space="preserve"> participants were compromised of 1</w:t>
      </w:r>
      <w:r w:rsidR="0073766D">
        <w:rPr>
          <w:rFonts w:ascii="Arial" w:eastAsia="Arial" w:hAnsi="Arial" w:cs="Arial"/>
          <w:color w:val="000000" w:themeColor="text1"/>
          <w:sz w:val="21"/>
          <w:szCs w:val="21"/>
        </w:rPr>
        <w:t>5</w:t>
      </w:r>
      <w:r w:rsidRPr="65033BF9">
        <w:rPr>
          <w:rFonts w:ascii="Arial" w:eastAsia="Arial" w:hAnsi="Arial" w:cs="Arial"/>
          <w:color w:val="000000" w:themeColor="text1"/>
          <w:sz w:val="21"/>
          <w:szCs w:val="21"/>
        </w:rPr>
        <w:t xml:space="preserve"> households and left for the following reasons: </w:t>
      </w:r>
    </w:p>
    <w:p w14:paraId="7BD95F2D" w14:textId="79ED23F0" w:rsidR="5722FF13" w:rsidRDefault="5722FF13" w:rsidP="65033BF9">
      <w:pPr>
        <w:jc w:val="both"/>
      </w:pPr>
      <w:r w:rsidRPr="65033BF9">
        <w:rPr>
          <w:rFonts w:ascii="Arial" w:eastAsia="Arial" w:hAnsi="Arial" w:cs="Arial"/>
          <w:color w:val="000000" w:themeColor="text1"/>
          <w:sz w:val="21"/>
          <w:szCs w:val="21"/>
        </w:rPr>
        <w:t xml:space="preserve"> </w:t>
      </w:r>
    </w:p>
    <w:p w14:paraId="2074412E" w14:textId="55CA130D" w:rsidR="5722FF13" w:rsidRDefault="5722FF13" w:rsidP="65033BF9">
      <w:pPr>
        <w:pStyle w:val="ListParagraph"/>
        <w:tabs>
          <w:tab w:val="left" w:pos="0"/>
          <w:tab w:val="left" w:pos="720"/>
        </w:tabs>
        <w:rPr>
          <w:rFonts w:ascii="Arial" w:eastAsia="Arial" w:hAnsi="Arial" w:cs="Arial"/>
          <w:color w:val="000000" w:themeColor="text1"/>
          <w:sz w:val="21"/>
          <w:szCs w:val="21"/>
        </w:rPr>
      </w:pPr>
      <w:r w:rsidRPr="65033BF9">
        <w:rPr>
          <w:rFonts w:ascii="Arial" w:eastAsia="Arial" w:hAnsi="Arial" w:cs="Arial"/>
          <w:color w:val="000000" w:themeColor="text1"/>
          <w:sz w:val="21"/>
          <w:szCs w:val="21"/>
        </w:rPr>
        <w:t xml:space="preserve">3 participants </w:t>
      </w:r>
      <w:r w:rsidR="00273137">
        <w:rPr>
          <w:rFonts w:ascii="Arial" w:eastAsia="Arial" w:hAnsi="Arial" w:cs="Arial"/>
          <w:color w:val="000000" w:themeColor="text1"/>
          <w:sz w:val="21"/>
          <w:szCs w:val="21"/>
        </w:rPr>
        <w:t>elected to exit the program</w:t>
      </w:r>
      <w:r w:rsidR="00BB41F1">
        <w:rPr>
          <w:rFonts w:ascii="Arial" w:eastAsia="Arial" w:hAnsi="Arial" w:cs="Arial"/>
          <w:color w:val="000000" w:themeColor="text1"/>
          <w:sz w:val="21"/>
          <w:szCs w:val="21"/>
        </w:rPr>
        <w:t xml:space="preserve"> and remain housed</w:t>
      </w:r>
      <w:r w:rsidRPr="65033BF9">
        <w:rPr>
          <w:rFonts w:ascii="Arial" w:eastAsia="Arial" w:hAnsi="Arial" w:cs="Arial"/>
          <w:color w:val="000000" w:themeColor="text1"/>
          <w:sz w:val="21"/>
          <w:szCs w:val="21"/>
        </w:rPr>
        <w:t xml:space="preserve"> </w:t>
      </w:r>
    </w:p>
    <w:p w14:paraId="606E2B0F" w14:textId="340CA749" w:rsidR="5722FF13" w:rsidRDefault="5722FF13" w:rsidP="65033BF9">
      <w:pPr>
        <w:pStyle w:val="ListParagraph"/>
        <w:tabs>
          <w:tab w:val="left" w:pos="0"/>
          <w:tab w:val="left" w:pos="720"/>
        </w:tabs>
        <w:rPr>
          <w:rFonts w:ascii="Arial" w:eastAsia="Arial" w:hAnsi="Arial" w:cs="Arial"/>
          <w:color w:val="000000" w:themeColor="text1"/>
          <w:sz w:val="21"/>
          <w:szCs w:val="21"/>
        </w:rPr>
      </w:pPr>
      <w:r w:rsidRPr="65033BF9">
        <w:rPr>
          <w:rFonts w:ascii="Arial" w:eastAsia="Arial" w:hAnsi="Arial" w:cs="Arial"/>
          <w:color w:val="000000" w:themeColor="text1"/>
          <w:sz w:val="21"/>
          <w:szCs w:val="21"/>
        </w:rPr>
        <w:t xml:space="preserve">8 participants completed the program and remain housed </w:t>
      </w:r>
    </w:p>
    <w:p w14:paraId="18B74048" w14:textId="040336E3" w:rsidR="5722FF13" w:rsidRDefault="00683E93" w:rsidP="65033BF9">
      <w:pPr>
        <w:pStyle w:val="ListParagraph"/>
        <w:tabs>
          <w:tab w:val="left" w:pos="0"/>
          <w:tab w:val="left" w:pos="720"/>
        </w:tabs>
        <w:rPr>
          <w:rFonts w:ascii="Arial" w:eastAsia="Arial" w:hAnsi="Arial" w:cs="Arial"/>
          <w:color w:val="000000" w:themeColor="text1"/>
          <w:sz w:val="21"/>
          <w:szCs w:val="21"/>
        </w:rPr>
      </w:pPr>
      <w:r>
        <w:rPr>
          <w:rFonts w:ascii="Arial" w:eastAsia="Arial" w:hAnsi="Arial" w:cs="Arial"/>
          <w:color w:val="000000" w:themeColor="text1"/>
          <w:sz w:val="21"/>
          <w:szCs w:val="21"/>
        </w:rPr>
        <w:t>4</w:t>
      </w:r>
      <w:r w:rsidR="5722FF13" w:rsidRPr="65033BF9">
        <w:rPr>
          <w:rFonts w:ascii="Arial" w:eastAsia="Arial" w:hAnsi="Arial" w:cs="Arial"/>
          <w:color w:val="000000" w:themeColor="text1"/>
          <w:sz w:val="21"/>
          <w:szCs w:val="21"/>
        </w:rPr>
        <w:t xml:space="preserve"> participants passed away </w:t>
      </w:r>
    </w:p>
    <w:p w14:paraId="1BA39744" w14:textId="0C6D75C9" w:rsidR="5722FF13" w:rsidRDefault="5722FF13" w:rsidP="65033BF9">
      <w:pPr>
        <w:pStyle w:val="ListParagraph"/>
        <w:tabs>
          <w:tab w:val="left" w:pos="0"/>
          <w:tab w:val="left" w:pos="720"/>
        </w:tabs>
        <w:rPr>
          <w:rFonts w:ascii="Arial" w:eastAsia="Arial" w:hAnsi="Arial" w:cs="Arial"/>
          <w:color w:val="000000" w:themeColor="text1"/>
          <w:sz w:val="21"/>
          <w:szCs w:val="21"/>
        </w:rPr>
      </w:pPr>
      <w:r w:rsidRPr="65033BF9">
        <w:rPr>
          <w:rFonts w:ascii="Arial" w:eastAsia="Arial" w:hAnsi="Arial" w:cs="Arial"/>
          <w:color w:val="000000" w:themeColor="text1"/>
          <w:sz w:val="21"/>
          <w:szCs w:val="21"/>
        </w:rPr>
        <w:t>1 participant lost contact and is presumed to be homeless</w:t>
      </w:r>
    </w:p>
    <w:p w14:paraId="58FC9F1F" w14:textId="643C6026" w:rsidR="65033BF9" w:rsidRDefault="65033BF9" w:rsidP="65033BF9">
      <w:pPr>
        <w:pStyle w:val="BodyText2"/>
        <w:rPr>
          <w:i w:val="0"/>
        </w:rPr>
      </w:pPr>
    </w:p>
    <w:p w14:paraId="342F3253" w14:textId="47DA3CAB" w:rsidR="00925583" w:rsidRDefault="3DD987A8" w:rsidP="65033BF9">
      <w:pPr>
        <w:jc w:val="both"/>
        <w:rPr>
          <w:rFonts w:ascii="Arial" w:hAnsi="Arial"/>
          <w:sz w:val="21"/>
          <w:szCs w:val="21"/>
        </w:rPr>
      </w:pPr>
      <w:r w:rsidRPr="65033BF9">
        <w:rPr>
          <w:rFonts w:ascii="Arial" w:hAnsi="Arial"/>
          <w:sz w:val="21"/>
          <w:szCs w:val="21"/>
        </w:rPr>
        <w:t xml:space="preserve">SM Retention </w:t>
      </w:r>
      <w:r w:rsidR="762FDC80" w:rsidRPr="65033BF9">
        <w:rPr>
          <w:rFonts w:ascii="Arial" w:hAnsi="Arial"/>
          <w:sz w:val="21"/>
          <w:szCs w:val="21"/>
        </w:rPr>
        <w:t xml:space="preserve">continues to support </w:t>
      </w:r>
      <w:r w:rsidR="1902958C" w:rsidRPr="65033BF9">
        <w:rPr>
          <w:rFonts w:ascii="Arial" w:hAnsi="Arial"/>
          <w:sz w:val="21"/>
          <w:szCs w:val="21"/>
        </w:rPr>
        <w:t>participants</w:t>
      </w:r>
      <w:r w:rsidR="762FDC80" w:rsidRPr="65033BF9">
        <w:rPr>
          <w:rFonts w:ascii="Arial" w:hAnsi="Arial"/>
          <w:sz w:val="21"/>
          <w:szCs w:val="21"/>
        </w:rPr>
        <w:t xml:space="preserve"> in utilizing food bank linkages, low-income childcare resources, and employment support</w:t>
      </w:r>
      <w:r w:rsidR="49395473" w:rsidRPr="65033BF9">
        <w:rPr>
          <w:rFonts w:ascii="Arial" w:hAnsi="Arial"/>
          <w:sz w:val="21"/>
          <w:szCs w:val="21"/>
        </w:rPr>
        <w:t xml:space="preserve"> resources via the SJC Employment Specialist. SM Retenti</w:t>
      </w:r>
      <w:r w:rsidR="061D73C5" w:rsidRPr="65033BF9">
        <w:rPr>
          <w:rFonts w:ascii="Arial" w:hAnsi="Arial"/>
          <w:sz w:val="21"/>
          <w:szCs w:val="21"/>
        </w:rPr>
        <w:t xml:space="preserve">on has also supported </w:t>
      </w:r>
      <w:r w:rsidR="4AD5E14E" w:rsidRPr="65033BF9">
        <w:rPr>
          <w:rFonts w:ascii="Arial" w:hAnsi="Arial"/>
          <w:sz w:val="21"/>
          <w:szCs w:val="21"/>
        </w:rPr>
        <w:t>participants</w:t>
      </w:r>
      <w:r w:rsidR="061D73C5" w:rsidRPr="65033BF9">
        <w:rPr>
          <w:rFonts w:ascii="Arial" w:hAnsi="Arial"/>
          <w:sz w:val="21"/>
          <w:szCs w:val="21"/>
        </w:rPr>
        <w:t xml:space="preserve"> with </w:t>
      </w:r>
      <w:r w:rsidR="6E0EA12D" w:rsidRPr="65033BF9">
        <w:rPr>
          <w:rFonts w:ascii="Arial" w:hAnsi="Arial"/>
          <w:sz w:val="21"/>
          <w:szCs w:val="21"/>
        </w:rPr>
        <w:t>link</w:t>
      </w:r>
      <w:r w:rsidR="2DAC5D02" w:rsidRPr="65033BF9">
        <w:rPr>
          <w:rFonts w:ascii="Arial" w:hAnsi="Arial"/>
          <w:sz w:val="21"/>
          <w:szCs w:val="21"/>
        </w:rPr>
        <w:t>ages</w:t>
      </w:r>
      <w:r w:rsidR="061D73C5" w:rsidRPr="65033BF9">
        <w:rPr>
          <w:rFonts w:ascii="Arial" w:hAnsi="Arial"/>
          <w:sz w:val="21"/>
          <w:szCs w:val="21"/>
        </w:rPr>
        <w:t xml:space="preserve"> to mental heal</w:t>
      </w:r>
      <w:r w:rsidR="60FC6F3E" w:rsidRPr="65033BF9">
        <w:rPr>
          <w:rFonts w:ascii="Arial" w:hAnsi="Arial"/>
          <w:sz w:val="21"/>
          <w:szCs w:val="21"/>
        </w:rPr>
        <w:t xml:space="preserve">th services. These </w:t>
      </w:r>
      <w:r w:rsidR="60F99D84" w:rsidRPr="65033BF9">
        <w:rPr>
          <w:rFonts w:ascii="Arial" w:hAnsi="Arial"/>
          <w:sz w:val="21"/>
          <w:szCs w:val="21"/>
        </w:rPr>
        <w:t>linkages have continued to help the program increase housing stabilization through community resourc</w:t>
      </w:r>
      <w:r w:rsidR="36C34D2C" w:rsidRPr="65033BF9">
        <w:rPr>
          <w:rFonts w:ascii="Arial" w:hAnsi="Arial"/>
          <w:sz w:val="21"/>
          <w:szCs w:val="21"/>
        </w:rPr>
        <w:t>es and increasing quality of li</w:t>
      </w:r>
      <w:r w:rsidR="07939146" w:rsidRPr="65033BF9">
        <w:rPr>
          <w:rFonts w:ascii="Arial" w:hAnsi="Arial"/>
          <w:sz w:val="21"/>
          <w:szCs w:val="21"/>
        </w:rPr>
        <w:t>fe.</w:t>
      </w:r>
    </w:p>
    <w:p w14:paraId="605A6CA2" w14:textId="40E7285A" w:rsidR="00925583" w:rsidRDefault="00925583" w:rsidP="65033BF9">
      <w:pPr>
        <w:jc w:val="both"/>
        <w:rPr>
          <w:rFonts w:ascii="Arial" w:hAnsi="Arial"/>
          <w:sz w:val="21"/>
          <w:szCs w:val="21"/>
        </w:rPr>
      </w:pPr>
    </w:p>
    <w:p w14:paraId="38F149A4" w14:textId="21609B15" w:rsidR="00925583" w:rsidRDefault="371E1474" w:rsidP="65033BF9">
      <w:pPr>
        <w:jc w:val="both"/>
        <w:rPr>
          <w:rFonts w:ascii="Arial" w:hAnsi="Arial"/>
          <w:sz w:val="21"/>
          <w:szCs w:val="21"/>
        </w:rPr>
      </w:pPr>
      <w:r w:rsidRPr="65033BF9">
        <w:rPr>
          <w:rFonts w:ascii="Arial" w:hAnsi="Arial"/>
          <w:sz w:val="21"/>
          <w:szCs w:val="21"/>
        </w:rPr>
        <w:t xml:space="preserve">With the ending of the COVID-19 emergency, </w:t>
      </w:r>
      <w:r w:rsidR="07939146" w:rsidRPr="65033BF9">
        <w:rPr>
          <w:rFonts w:ascii="Arial" w:hAnsi="Arial"/>
          <w:sz w:val="21"/>
          <w:szCs w:val="21"/>
        </w:rPr>
        <w:t xml:space="preserve">case management services that SM </w:t>
      </w:r>
      <w:r w:rsidR="1320314A" w:rsidRPr="65033BF9">
        <w:rPr>
          <w:rFonts w:ascii="Arial" w:hAnsi="Arial"/>
          <w:sz w:val="21"/>
          <w:szCs w:val="21"/>
        </w:rPr>
        <w:t>R</w:t>
      </w:r>
      <w:r w:rsidR="07939146" w:rsidRPr="65033BF9">
        <w:rPr>
          <w:rFonts w:ascii="Arial" w:hAnsi="Arial"/>
          <w:sz w:val="21"/>
          <w:szCs w:val="21"/>
        </w:rPr>
        <w:t>etention prov</w:t>
      </w:r>
      <w:r w:rsidR="48F66EA9" w:rsidRPr="65033BF9">
        <w:rPr>
          <w:rFonts w:ascii="Arial" w:hAnsi="Arial"/>
          <w:sz w:val="21"/>
          <w:szCs w:val="21"/>
        </w:rPr>
        <w:t>ide</w:t>
      </w:r>
      <w:r w:rsidR="203C268E" w:rsidRPr="65033BF9">
        <w:rPr>
          <w:rFonts w:ascii="Arial" w:hAnsi="Arial"/>
          <w:sz w:val="21"/>
          <w:szCs w:val="21"/>
        </w:rPr>
        <w:t>s</w:t>
      </w:r>
      <w:r w:rsidR="48F66EA9" w:rsidRPr="65033BF9">
        <w:rPr>
          <w:rFonts w:ascii="Arial" w:hAnsi="Arial"/>
          <w:sz w:val="21"/>
          <w:szCs w:val="21"/>
        </w:rPr>
        <w:t xml:space="preserve"> have continued to increase in frequency closer to pre-pandemic levels</w:t>
      </w:r>
      <w:r w:rsidR="69559333" w:rsidRPr="65033BF9">
        <w:rPr>
          <w:rFonts w:ascii="Arial" w:hAnsi="Arial"/>
          <w:sz w:val="21"/>
          <w:szCs w:val="21"/>
        </w:rPr>
        <w:t xml:space="preserve">. </w:t>
      </w:r>
      <w:r w:rsidR="7BA55DE7" w:rsidRPr="65033BF9">
        <w:rPr>
          <w:rFonts w:ascii="Arial" w:hAnsi="Arial"/>
          <w:sz w:val="21"/>
          <w:szCs w:val="21"/>
        </w:rPr>
        <w:t>The SM Retention team continues</w:t>
      </w:r>
      <w:r w:rsidR="0567BC95" w:rsidRPr="65033BF9">
        <w:rPr>
          <w:rFonts w:ascii="Arial" w:hAnsi="Arial"/>
          <w:sz w:val="21"/>
          <w:szCs w:val="21"/>
        </w:rPr>
        <w:t xml:space="preserve"> to</w:t>
      </w:r>
      <w:r w:rsidR="7BA55DE7" w:rsidRPr="65033BF9">
        <w:rPr>
          <w:rFonts w:ascii="Arial" w:hAnsi="Arial"/>
          <w:sz w:val="21"/>
          <w:szCs w:val="21"/>
        </w:rPr>
        <w:t xml:space="preserve"> provide services that aim</w:t>
      </w:r>
      <w:r w:rsidR="749D59F3" w:rsidRPr="65033BF9">
        <w:rPr>
          <w:rFonts w:ascii="Arial" w:hAnsi="Arial"/>
          <w:sz w:val="21"/>
          <w:szCs w:val="21"/>
        </w:rPr>
        <w:t xml:space="preserve"> to </w:t>
      </w:r>
      <w:r w:rsidR="3F8B39CB" w:rsidRPr="65033BF9">
        <w:rPr>
          <w:rFonts w:ascii="Arial" w:hAnsi="Arial"/>
          <w:sz w:val="21"/>
          <w:szCs w:val="21"/>
        </w:rPr>
        <w:t>improve</w:t>
      </w:r>
      <w:r w:rsidR="749D59F3" w:rsidRPr="65033BF9">
        <w:rPr>
          <w:rFonts w:ascii="Arial" w:hAnsi="Arial"/>
          <w:sz w:val="21"/>
          <w:szCs w:val="21"/>
        </w:rPr>
        <w:t xml:space="preserve"> the health and stability of clients in their </w:t>
      </w:r>
      <w:r w:rsidR="36F29FEC" w:rsidRPr="65033BF9">
        <w:rPr>
          <w:rFonts w:ascii="Arial" w:hAnsi="Arial"/>
          <w:sz w:val="21"/>
          <w:szCs w:val="21"/>
        </w:rPr>
        <w:t>homes and</w:t>
      </w:r>
      <w:r w:rsidR="0412833F" w:rsidRPr="65033BF9">
        <w:rPr>
          <w:rFonts w:ascii="Arial" w:hAnsi="Arial"/>
          <w:sz w:val="21"/>
          <w:szCs w:val="21"/>
        </w:rPr>
        <w:t xml:space="preserve"> be </w:t>
      </w:r>
      <w:r w:rsidR="0C2F4CC7" w:rsidRPr="65033BF9">
        <w:rPr>
          <w:rFonts w:ascii="Arial" w:hAnsi="Arial"/>
          <w:sz w:val="21"/>
          <w:szCs w:val="21"/>
        </w:rPr>
        <w:t>successful</w:t>
      </w:r>
      <w:r w:rsidR="0412833F" w:rsidRPr="65033BF9">
        <w:rPr>
          <w:rFonts w:ascii="Arial" w:hAnsi="Arial"/>
          <w:sz w:val="21"/>
          <w:szCs w:val="21"/>
        </w:rPr>
        <w:t xml:space="preserve"> </w:t>
      </w:r>
      <w:r w:rsidR="5D829195" w:rsidRPr="65033BF9">
        <w:rPr>
          <w:rFonts w:ascii="Arial" w:hAnsi="Arial"/>
          <w:sz w:val="21"/>
          <w:szCs w:val="21"/>
        </w:rPr>
        <w:t xml:space="preserve">at being able to assist with meeting their needs without clients having to leave their homes. </w:t>
      </w:r>
    </w:p>
    <w:p w14:paraId="40CD0445" w14:textId="7DE762CD" w:rsidR="00925583" w:rsidRDefault="00925583" w:rsidP="65033BF9">
      <w:pPr>
        <w:jc w:val="both"/>
        <w:rPr>
          <w:rFonts w:ascii="Arial" w:hAnsi="Arial"/>
          <w:sz w:val="21"/>
          <w:szCs w:val="21"/>
        </w:rPr>
      </w:pPr>
    </w:p>
    <w:p w14:paraId="134D4A57" w14:textId="41E49F0B" w:rsidR="00925583" w:rsidRDefault="5A90CC3A" w:rsidP="65033BF9">
      <w:pPr>
        <w:jc w:val="both"/>
        <w:rPr>
          <w:rFonts w:ascii="Arial" w:hAnsi="Arial"/>
          <w:sz w:val="21"/>
          <w:szCs w:val="21"/>
        </w:rPr>
      </w:pPr>
      <w:r w:rsidRPr="63CE5288">
        <w:rPr>
          <w:rFonts w:ascii="Arial" w:hAnsi="Arial"/>
          <w:sz w:val="21"/>
          <w:szCs w:val="21"/>
        </w:rPr>
        <w:t>The SM Retention team continues</w:t>
      </w:r>
      <w:r w:rsidR="5E0FC94F" w:rsidRPr="63CE5288">
        <w:rPr>
          <w:rFonts w:ascii="Arial" w:hAnsi="Arial"/>
          <w:sz w:val="21"/>
          <w:szCs w:val="21"/>
        </w:rPr>
        <w:t xml:space="preserve"> to provide food support by delivering groceries, </w:t>
      </w:r>
      <w:r w:rsidR="77E8B295" w:rsidRPr="63CE5288">
        <w:rPr>
          <w:rFonts w:ascii="Arial" w:hAnsi="Arial"/>
          <w:sz w:val="21"/>
          <w:szCs w:val="21"/>
        </w:rPr>
        <w:t xml:space="preserve">providing </w:t>
      </w:r>
      <w:r w:rsidR="691BE89A" w:rsidRPr="63CE5288">
        <w:rPr>
          <w:rFonts w:ascii="Arial" w:hAnsi="Arial"/>
          <w:sz w:val="21"/>
          <w:szCs w:val="21"/>
        </w:rPr>
        <w:t>gift cards</w:t>
      </w:r>
      <w:r w:rsidR="77E8B295" w:rsidRPr="63CE5288">
        <w:rPr>
          <w:rFonts w:ascii="Arial" w:hAnsi="Arial"/>
          <w:sz w:val="21"/>
          <w:szCs w:val="21"/>
        </w:rPr>
        <w:t xml:space="preserve">,  providing linkages to educational and vocational </w:t>
      </w:r>
      <w:r w:rsidR="004FADE3" w:rsidRPr="63CE5288">
        <w:rPr>
          <w:rFonts w:ascii="Arial" w:hAnsi="Arial"/>
          <w:sz w:val="21"/>
          <w:szCs w:val="21"/>
        </w:rPr>
        <w:t>services</w:t>
      </w:r>
      <w:r w:rsidR="77E8B295" w:rsidRPr="63CE5288">
        <w:rPr>
          <w:rFonts w:ascii="Arial" w:hAnsi="Arial"/>
          <w:sz w:val="21"/>
          <w:szCs w:val="21"/>
        </w:rPr>
        <w:t>, as well as emergency rental assistance, wit</w:t>
      </w:r>
      <w:r w:rsidR="691C7099" w:rsidRPr="63CE5288">
        <w:rPr>
          <w:rFonts w:ascii="Arial" w:hAnsi="Arial"/>
          <w:sz w:val="21"/>
          <w:szCs w:val="21"/>
        </w:rPr>
        <w:t>h the goal of</w:t>
      </w:r>
      <w:r w:rsidR="77E8B295" w:rsidRPr="63CE5288">
        <w:rPr>
          <w:rFonts w:ascii="Arial" w:hAnsi="Arial"/>
          <w:sz w:val="21"/>
          <w:szCs w:val="21"/>
        </w:rPr>
        <w:t xml:space="preserve"> </w:t>
      </w:r>
      <w:r w:rsidR="58B4BB44" w:rsidRPr="63CE5288">
        <w:rPr>
          <w:rFonts w:ascii="Arial" w:hAnsi="Arial"/>
          <w:sz w:val="21"/>
          <w:szCs w:val="21"/>
        </w:rPr>
        <w:t>maintain</w:t>
      </w:r>
      <w:r w:rsidR="30BB79A4" w:rsidRPr="63CE5288">
        <w:rPr>
          <w:rFonts w:ascii="Arial" w:hAnsi="Arial"/>
          <w:sz w:val="21"/>
          <w:szCs w:val="21"/>
        </w:rPr>
        <w:t xml:space="preserve">ing </w:t>
      </w:r>
      <w:r w:rsidR="58B4BB44" w:rsidRPr="63CE5288">
        <w:rPr>
          <w:rFonts w:ascii="Arial" w:hAnsi="Arial"/>
          <w:sz w:val="21"/>
          <w:szCs w:val="21"/>
        </w:rPr>
        <w:t>100% housing retention</w:t>
      </w:r>
      <w:r w:rsidR="341D571B" w:rsidRPr="63CE5288">
        <w:rPr>
          <w:rFonts w:ascii="Arial" w:hAnsi="Arial"/>
          <w:sz w:val="21"/>
          <w:szCs w:val="21"/>
        </w:rPr>
        <w:t>.</w:t>
      </w:r>
    </w:p>
    <w:p w14:paraId="48B54429" w14:textId="5726B852" w:rsidR="00925583" w:rsidRDefault="00925583" w:rsidP="65033BF9">
      <w:pPr>
        <w:jc w:val="both"/>
        <w:rPr>
          <w:rFonts w:ascii="Arial" w:hAnsi="Arial"/>
          <w:sz w:val="21"/>
          <w:szCs w:val="21"/>
        </w:rPr>
      </w:pPr>
    </w:p>
    <w:p w14:paraId="5B62C2CA" w14:textId="3A3C7E8B" w:rsidR="00925583" w:rsidRDefault="0AF9DD66" w:rsidP="65033BF9">
      <w:pPr>
        <w:jc w:val="both"/>
        <w:rPr>
          <w:rFonts w:ascii="Arial" w:hAnsi="Arial"/>
          <w:sz w:val="21"/>
          <w:szCs w:val="21"/>
        </w:rPr>
      </w:pPr>
      <w:r w:rsidRPr="65033BF9">
        <w:rPr>
          <w:rFonts w:ascii="Arial" w:hAnsi="Arial"/>
          <w:sz w:val="21"/>
          <w:szCs w:val="21"/>
        </w:rPr>
        <w:t>The SM Retention team continues to</w:t>
      </w:r>
      <w:r w:rsidR="1D86C54C" w:rsidRPr="65033BF9">
        <w:rPr>
          <w:rFonts w:ascii="Arial" w:hAnsi="Arial"/>
          <w:sz w:val="21"/>
          <w:szCs w:val="21"/>
        </w:rPr>
        <w:t xml:space="preserve"> work collaboratively with outside providers including WISE &amp; Healthy Aging</w:t>
      </w:r>
      <w:r w:rsidR="775251AE" w:rsidRPr="65033BF9">
        <w:rPr>
          <w:rFonts w:ascii="Arial" w:hAnsi="Arial"/>
          <w:sz w:val="21"/>
          <w:szCs w:val="21"/>
        </w:rPr>
        <w:t>, street outreach teams, and mental health teams. This col</w:t>
      </w:r>
      <w:r w:rsidR="5EEA1FE5" w:rsidRPr="65033BF9">
        <w:rPr>
          <w:rFonts w:ascii="Arial" w:hAnsi="Arial"/>
          <w:sz w:val="21"/>
          <w:szCs w:val="21"/>
        </w:rPr>
        <w:t xml:space="preserve">laboration approach creates wrap around services for some of the most vulnerable older adult residents. </w:t>
      </w:r>
      <w:r w:rsidR="30839B48" w:rsidRPr="65033BF9">
        <w:rPr>
          <w:rFonts w:ascii="Arial" w:hAnsi="Arial"/>
          <w:sz w:val="21"/>
          <w:szCs w:val="21"/>
        </w:rPr>
        <w:t>The increased technology support that was implemented during the p</w:t>
      </w:r>
      <w:r w:rsidR="3D50C810" w:rsidRPr="65033BF9">
        <w:rPr>
          <w:rFonts w:ascii="Arial" w:hAnsi="Arial"/>
          <w:sz w:val="21"/>
          <w:szCs w:val="21"/>
        </w:rPr>
        <w:t xml:space="preserve">revious reporting period continues to assist our clients with </w:t>
      </w:r>
      <w:r w:rsidR="0D1FD844" w:rsidRPr="65033BF9">
        <w:rPr>
          <w:rFonts w:ascii="Arial" w:hAnsi="Arial"/>
          <w:sz w:val="21"/>
          <w:szCs w:val="21"/>
        </w:rPr>
        <w:t>decreasing</w:t>
      </w:r>
      <w:r w:rsidR="3D50C810" w:rsidRPr="65033BF9">
        <w:rPr>
          <w:rFonts w:ascii="Arial" w:hAnsi="Arial"/>
          <w:sz w:val="21"/>
          <w:szCs w:val="21"/>
        </w:rPr>
        <w:t xml:space="preserve"> isolation and maintaining </w:t>
      </w:r>
      <w:r w:rsidR="612A841C" w:rsidRPr="65033BF9">
        <w:rPr>
          <w:rFonts w:ascii="Arial" w:hAnsi="Arial"/>
          <w:sz w:val="21"/>
          <w:szCs w:val="21"/>
        </w:rPr>
        <w:t xml:space="preserve">school and work obligations and responsibilities. The Program Manager </w:t>
      </w:r>
      <w:r w:rsidR="05112D03" w:rsidRPr="65033BF9">
        <w:rPr>
          <w:rFonts w:ascii="Arial" w:hAnsi="Arial"/>
          <w:sz w:val="21"/>
          <w:szCs w:val="21"/>
        </w:rPr>
        <w:t xml:space="preserve">is actively engaged </w:t>
      </w:r>
      <w:r w:rsidR="13866EA8" w:rsidRPr="65033BF9">
        <w:rPr>
          <w:rFonts w:ascii="Arial" w:hAnsi="Arial"/>
          <w:sz w:val="21"/>
          <w:szCs w:val="21"/>
        </w:rPr>
        <w:t>with the Santa Monica Task Force meetings to help strengthen the relationship with partnering agenci</w:t>
      </w:r>
      <w:r w:rsidR="1A5BCDB6" w:rsidRPr="65033BF9">
        <w:rPr>
          <w:rFonts w:ascii="Arial" w:hAnsi="Arial"/>
          <w:sz w:val="21"/>
          <w:szCs w:val="21"/>
        </w:rPr>
        <w:t>es, brainstorm interventions and solutions, and work more collaboratively with the most difficult clients.</w:t>
      </w:r>
    </w:p>
    <w:p w14:paraId="6F4573C9" w14:textId="5562ADBF" w:rsidR="65033BF9" w:rsidRDefault="65033BF9" w:rsidP="65033BF9">
      <w:pPr>
        <w:jc w:val="both"/>
        <w:rPr>
          <w:rFonts w:ascii="Arial" w:hAnsi="Arial"/>
          <w:sz w:val="21"/>
          <w:szCs w:val="21"/>
        </w:rPr>
      </w:pPr>
    </w:p>
    <w:p w14:paraId="194245B5" w14:textId="23F291F1" w:rsidR="32C299FB" w:rsidRDefault="32C299FB" w:rsidP="65033BF9">
      <w:pPr>
        <w:jc w:val="both"/>
        <w:rPr>
          <w:rFonts w:ascii="Arial" w:hAnsi="Arial"/>
          <w:sz w:val="21"/>
          <w:szCs w:val="21"/>
        </w:rPr>
      </w:pPr>
      <w:r w:rsidRPr="65033BF9">
        <w:rPr>
          <w:rFonts w:ascii="Arial" w:hAnsi="Arial"/>
          <w:sz w:val="21"/>
          <w:szCs w:val="21"/>
        </w:rPr>
        <w:t>Previous challenges with IHSS homecare workers not wanting to enter units and difficultie</w:t>
      </w:r>
      <w:r w:rsidR="6EBF82A9" w:rsidRPr="65033BF9">
        <w:rPr>
          <w:rFonts w:ascii="Arial" w:hAnsi="Arial"/>
          <w:sz w:val="21"/>
          <w:szCs w:val="21"/>
        </w:rPr>
        <w:t>s identifying new IHSS workers</w:t>
      </w:r>
      <w:r w:rsidR="4AD78D83" w:rsidRPr="65033BF9">
        <w:rPr>
          <w:rFonts w:ascii="Arial" w:hAnsi="Arial"/>
          <w:sz w:val="21"/>
          <w:szCs w:val="21"/>
        </w:rPr>
        <w:t xml:space="preserve">, and </w:t>
      </w:r>
      <w:r w:rsidR="6EBF82A9" w:rsidRPr="65033BF9">
        <w:rPr>
          <w:rFonts w:ascii="Arial" w:hAnsi="Arial"/>
          <w:sz w:val="21"/>
          <w:szCs w:val="21"/>
        </w:rPr>
        <w:t xml:space="preserve">IHSS home care workers </w:t>
      </w:r>
      <w:r w:rsidR="6B851AEA" w:rsidRPr="65033BF9">
        <w:rPr>
          <w:rFonts w:ascii="Arial" w:hAnsi="Arial"/>
          <w:sz w:val="21"/>
          <w:szCs w:val="21"/>
        </w:rPr>
        <w:t>not being willing to commute because of gas mileage costs</w:t>
      </w:r>
      <w:r w:rsidR="562A9D68" w:rsidRPr="65033BF9">
        <w:rPr>
          <w:rFonts w:ascii="Arial" w:hAnsi="Arial"/>
          <w:sz w:val="21"/>
          <w:szCs w:val="21"/>
        </w:rPr>
        <w:t xml:space="preserve"> </w:t>
      </w:r>
      <w:r w:rsidR="27B6403B" w:rsidRPr="65033BF9">
        <w:rPr>
          <w:rFonts w:ascii="Arial" w:hAnsi="Arial"/>
          <w:sz w:val="21"/>
          <w:szCs w:val="21"/>
        </w:rPr>
        <w:t>have</w:t>
      </w:r>
      <w:r w:rsidR="562A9D68" w:rsidRPr="65033BF9">
        <w:rPr>
          <w:rFonts w:ascii="Arial" w:hAnsi="Arial"/>
          <w:sz w:val="21"/>
          <w:szCs w:val="21"/>
        </w:rPr>
        <w:t xml:space="preserve"> slightly improved. Some </w:t>
      </w:r>
      <w:r w:rsidR="7BB0B801" w:rsidRPr="65033BF9">
        <w:rPr>
          <w:rFonts w:ascii="Arial" w:hAnsi="Arial"/>
          <w:sz w:val="21"/>
          <w:szCs w:val="21"/>
        </w:rPr>
        <w:t>participants</w:t>
      </w:r>
      <w:r w:rsidR="562A9D68" w:rsidRPr="65033BF9">
        <w:rPr>
          <w:rFonts w:ascii="Arial" w:hAnsi="Arial"/>
          <w:sz w:val="21"/>
          <w:szCs w:val="21"/>
        </w:rPr>
        <w:t xml:space="preserve"> are </w:t>
      </w:r>
      <w:r w:rsidR="507F65BD" w:rsidRPr="65033BF9">
        <w:rPr>
          <w:rFonts w:ascii="Arial" w:hAnsi="Arial"/>
          <w:sz w:val="21"/>
          <w:szCs w:val="21"/>
        </w:rPr>
        <w:t xml:space="preserve">less resistant to </w:t>
      </w:r>
      <w:r w:rsidR="21D3DBF9" w:rsidRPr="65033BF9">
        <w:rPr>
          <w:rFonts w:ascii="Arial" w:hAnsi="Arial"/>
          <w:sz w:val="21"/>
          <w:szCs w:val="21"/>
        </w:rPr>
        <w:t>denying</w:t>
      </w:r>
      <w:r w:rsidR="507F65BD" w:rsidRPr="65033BF9">
        <w:rPr>
          <w:rFonts w:ascii="Arial" w:hAnsi="Arial"/>
          <w:sz w:val="21"/>
          <w:szCs w:val="21"/>
        </w:rPr>
        <w:t xml:space="preserve"> IHSS serv</w:t>
      </w:r>
      <w:r w:rsidR="71B12546" w:rsidRPr="65033BF9">
        <w:rPr>
          <w:rFonts w:ascii="Arial" w:hAnsi="Arial"/>
          <w:sz w:val="21"/>
          <w:szCs w:val="21"/>
        </w:rPr>
        <w:t xml:space="preserve">ices due to their need for </w:t>
      </w:r>
      <w:r w:rsidR="730E1704" w:rsidRPr="65033BF9">
        <w:rPr>
          <w:rFonts w:ascii="Arial" w:hAnsi="Arial"/>
          <w:sz w:val="21"/>
          <w:szCs w:val="21"/>
        </w:rPr>
        <w:t>additional</w:t>
      </w:r>
      <w:r w:rsidR="71B12546" w:rsidRPr="65033BF9">
        <w:rPr>
          <w:rFonts w:ascii="Arial" w:hAnsi="Arial"/>
          <w:sz w:val="21"/>
          <w:szCs w:val="21"/>
        </w:rPr>
        <w:t xml:space="preserve"> in-home support.</w:t>
      </w:r>
      <w:r w:rsidR="2DC27CA6" w:rsidRPr="65033BF9">
        <w:rPr>
          <w:rFonts w:ascii="Arial" w:hAnsi="Arial"/>
          <w:sz w:val="21"/>
          <w:szCs w:val="21"/>
        </w:rPr>
        <w:t xml:space="preserve"> Case managers </w:t>
      </w:r>
      <w:r w:rsidR="16D1D3B6" w:rsidRPr="65033BF9">
        <w:rPr>
          <w:rFonts w:ascii="Arial" w:hAnsi="Arial"/>
          <w:sz w:val="21"/>
          <w:szCs w:val="21"/>
        </w:rPr>
        <w:t xml:space="preserve">remain flexible with </w:t>
      </w:r>
      <w:r w:rsidR="04A674CE" w:rsidRPr="65033BF9">
        <w:rPr>
          <w:rFonts w:ascii="Arial" w:hAnsi="Arial"/>
          <w:sz w:val="21"/>
          <w:szCs w:val="21"/>
        </w:rPr>
        <w:t xml:space="preserve">their schedules and meet with </w:t>
      </w:r>
      <w:r w:rsidR="7EBB9E88" w:rsidRPr="65033BF9">
        <w:rPr>
          <w:rFonts w:ascii="Arial" w:hAnsi="Arial"/>
          <w:sz w:val="21"/>
          <w:szCs w:val="21"/>
        </w:rPr>
        <w:t>participants</w:t>
      </w:r>
      <w:r w:rsidR="04A674CE" w:rsidRPr="65033BF9">
        <w:rPr>
          <w:rFonts w:ascii="Arial" w:hAnsi="Arial"/>
          <w:sz w:val="21"/>
          <w:szCs w:val="21"/>
        </w:rPr>
        <w:t xml:space="preserve"> as needed, leveraging </w:t>
      </w:r>
      <w:r w:rsidR="4F9454A5" w:rsidRPr="65033BF9">
        <w:rPr>
          <w:rFonts w:ascii="Arial" w:hAnsi="Arial"/>
          <w:sz w:val="21"/>
          <w:szCs w:val="21"/>
        </w:rPr>
        <w:t xml:space="preserve">other case managers, </w:t>
      </w:r>
      <w:r w:rsidR="07D2A373" w:rsidRPr="65033BF9">
        <w:rPr>
          <w:rFonts w:ascii="Arial" w:hAnsi="Arial"/>
          <w:sz w:val="21"/>
          <w:szCs w:val="21"/>
        </w:rPr>
        <w:t xml:space="preserve">and attempt to meet with isolated </w:t>
      </w:r>
      <w:r w:rsidR="1FED5E12" w:rsidRPr="65033BF9">
        <w:rPr>
          <w:rFonts w:ascii="Arial" w:hAnsi="Arial"/>
          <w:sz w:val="21"/>
          <w:szCs w:val="21"/>
        </w:rPr>
        <w:t>participants</w:t>
      </w:r>
      <w:r w:rsidR="07D2A373" w:rsidRPr="65033BF9">
        <w:rPr>
          <w:rFonts w:ascii="Arial" w:hAnsi="Arial"/>
          <w:sz w:val="21"/>
          <w:szCs w:val="21"/>
        </w:rPr>
        <w:t xml:space="preserve"> in person at their homes in a safe, socially distanced manner.</w:t>
      </w:r>
      <w:r w:rsidR="2E623832" w:rsidRPr="65033BF9">
        <w:rPr>
          <w:rFonts w:ascii="Arial" w:hAnsi="Arial"/>
          <w:sz w:val="21"/>
          <w:szCs w:val="21"/>
        </w:rPr>
        <w:t xml:space="preserve"> In addition to</w:t>
      </w:r>
      <w:r w:rsidR="15397F7C" w:rsidRPr="65033BF9">
        <w:rPr>
          <w:rFonts w:ascii="Arial" w:hAnsi="Arial"/>
          <w:sz w:val="21"/>
          <w:szCs w:val="21"/>
        </w:rPr>
        <w:t xml:space="preserve"> wearing masks, case managers continue to meet with </w:t>
      </w:r>
      <w:r w:rsidR="7633E08C" w:rsidRPr="65033BF9">
        <w:rPr>
          <w:rFonts w:ascii="Arial" w:hAnsi="Arial"/>
          <w:sz w:val="21"/>
          <w:szCs w:val="21"/>
        </w:rPr>
        <w:t>participants</w:t>
      </w:r>
      <w:r w:rsidR="15397F7C" w:rsidRPr="65033BF9">
        <w:rPr>
          <w:rFonts w:ascii="Arial" w:hAnsi="Arial"/>
          <w:sz w:val="21"/>
          <w:szCs w:val="21"/>
        </w:rPr>
        <w:t xml:space="preserve"> in open-air environments, such as their patios, lo</w:t>
      </w:r>
      <w:r w:rsidR="1DD949B9" w:rsidRPr="65033BF9">
        <w:rPr>
          <w:rFonts w:ascii="Arial" w:hAnsi="Arial"/>
          <w:sz w:val="21"/>
          <w:szCs w:val="21"/>
        </w:rPr>
        <w:t xml:space="preserve">cal businesses, and parks. While the needs of our </w:t>
      </w:r>
      <w:r w:rsidR="52C08E61" w:rsidRPr="65033BF9">
        <w:rPr>
          <w:rFonts w:ascii="Arial" w:hAnsi="Arial"/>
          <w:sz w:val="21"/>
          <w:szCs w:val="21"/>
        </w:rPr>
        <w:t>participants</w:t>
      </w:r>
      <w:r w:rsidR="1DD949B9" w:rsidRPr="65033BF9">
        <w:rPr>
          <w:rFonts w:ascii="Arial" w:hAnsi="Arial"/>
          <w:sz w:val="21"/>
          <w:szCs w:val="21"/>
        </w:rPr>
        <w:t xml:space="preserve"> change over time, </w:t>
      </w:r>
      <w:r w:rsidR="76133B59" w:rsidRPr="65033BF9">
        <w:rPr>
          <w:rFonts w:ascii="Arial" w:hAnsi="Arial"/>
          <w:sz w:val="21"/>
          <w:szCs w:val="21"/>
        </w:rPr>
        <w:t xml:space="preserve">case managers still encounter barriers that occasionally </w:t>
      </w:r>
      <w:r w:rsidR="5EF872FB" w:rsidRPr="65033BF9">
        <w:rPr>
          <w:rFonts w:ascii="Arial" w:hAnsi="Arial"/>
          <w:sz w:val="21"/>
          <w:szCs w:val="21"/>
        </w:rPr>
        <w:t>impact on</w:t>
      </w:r>
      <w:r w:rsidR="76133B59" w:rsidRPr="65033BF9">
        <w:rPr>
          <w:rFonts w:ascii="Arial" w:hAnsi="Arial"/>
          <w:sz w:val="21"/>
          <w:szCs w:val="21"/>
        </w:rPr>
        <w:t xml:space="preserve"> the team’s ability </w:t>
      </w:r>
      <w:r w:rsidR="41011B31" w:rsidRPr="65033BF9">
        <w:rPr>
          <w:rFonts w:ascii="Arial" w:hAnsi="Arial"/>
          <w:sz w:val="21"/>
          <w:szCs w:val="21"/>
        </w:rPr>
        <w:t xml:space="preserve">to provide support for </w:t>
      </w:r>
      <w:r w:rsidR="4B3AB3B3" w:rsidRPr="65033BF9">
        <w:rPr>
          <w:rFonts w:ascii="Arial" w:hAnsi="Arial"/>
          <w:sz w:val="21"/>
          <w:szCs w:val="21"/>
        </w:rPr>
        <w:t>participants</w:t>
      </w:r>
      <w:r w:rsidR="41011B31" w:rsidRPr="65033BF9">
        <w:rPr>
          <w:rFonts w:ascii="Arial" w:hAnsi="Arial"/>
          <w:sz w:val="21"/>
          <w:szCs w:val="21"/>
        </w:rPr>
        <w:t xml:space="preserve"> more effectively. This has resulted in some delays with </w:t>
      </w:r>
      <w:r w:rsidR="54CB82F3" w:rsidRPr="65033BF9">
        <w:rPr>
          <w:rFonts w:ascii="Arial" w:hAnsi="Arial"/>
          <w:sz w:val="21"/>
          <w:szCs w:val="21"/>
        </w:rPr>
        <w:t xml:space="preserve">participants </w:t>
      </w:r>
      <w:r w:rsidR="41011B31" w:rsidRPr="65033BF9">
        <w:rPr>
          <w:rFonts w:ascii="Arial" w:hAnsi="Arial"/>
          <w:sz w:val="21"/>
          <w:szCs w:val="21"/>
        </w:rPr>
        <w:t>completing paperwork</w:t>
      </w:r>
      <w:r w:rsidR="7FA60062" w:rsidRPr="65033BF9">
        <w:rPr>
          <w:rFonts w:ascii="Arial" w:hAnsi="Arial"/>
          <w:sz w:val="21"/>
          <w:szCs w:val="21"/>
        </w:rPr>
        <w:t xml:space="preserve"> such as annual housing recertifications, scheduled housing inspections, and submitting HOME applications.</w:t>
      </w:r>
    </w:p>
    <w:p w14:paraId="4C03290C" w14:textId="77777777" w:rsidR="00803B13" w:rsidRDefault="00803B13" w:rsidP="65033BF9">
      <w:pPr>
        <w:jc w:val="both"/>
        <w:rPr>
          <w:rFonts w:ascii="Arial" w:hAnsi="Arial"/>
          <w:sz w:val="21"/>
          <w:szCs w:val="21"/>
        </w:rPr>
      </w:pPr>
    </w:p>
    <w:p w14:paraId="05CD627F" w14:textId="1DE55122" w:rsidR="3B23A3E1" w:rsidRDefault="3B23A3E1" w:rsidP="65033BF9">
      <w:pPr>
        <w:jc w:val="both"/>
        <w:rPr>
          <w:rFonts w:ascii="Arial" w:hAnsi="Arial"/>
          <w:sz w:val="21"/>
          <w:szCs w:val="21"/>
        </w:rPr>
      </w:pPr>
      <w:r w:rsidRPr="65033BF9">
        <w:rPr>
          <w:rFonts w:ascii="Arial" w:hAnsi="Arial"/>
          <w:sz w:val="21"/>
          <w:szCs w:val="21"/>
        </w:rPr>
        <w:t xml:space="preserve">The SM Retention team has also observed an increase in </w:t>
      </w:r>
      <w:r w:rsidR="11594A79" w:rsidRPr="65033BF9">
        <w:rPr>
          <w:rFonts w:ascii="Arial" w:hAnsi="Arial"/>
          <w:sz w:val="21"/>
          <w:szCs w:val="21"/>
        </w:rPr>
        <w:t>participants</w:t>
      </w:r>
      <w:r w:rsidRPr="65033BF9">
        <w:rPr>
          <w:rFonts w:ascii="Arial" w:hAnsi="Arial"/>
          <w:sz w:val="21"/>
          <w:szCs w:val="21"/>
        </w:rPr>
        <w:t xml:space="preserve"> who need rental assistance</w:t>
      </w:r>
      <w:r w:rsidR="3A226FFB" w:rsidRPr="65033BF9">
        <w:rPr>
          <w:rFonts w:ascii="Arial" w:hAnsi="Arial"/>
          <w:sz w:val="21"/>
          <w:szCs w:val="21"/>
        </w:rPr>
        <w:t xml:space="preserve"> to assist with falling into homelessness</w:t>
      </w:r>
      <w:r w:rsidRPr="65033BF9">
        <w:rPr>
          <w:rFonts w:ascii="Arial" w:hAnsi="Arial"/>
          <w:sz w:val="21"/>
          <w:szCs w:val="21"/>
        </w:rPr>
        <w:t xml:space="preserve">.  With the upcoming expirations of pandemic era </w:t>
      </w:r>
      <w:r w:rsidR="7CA3AA31" w:rsidRPr="65033BF9">
        <w:rPr>
          <w:rFonts w:ascii="Arial" w:hAnsi="Arial"/>
          <w:sz w:val="21"/>
          <w:szCs w:val="21"/>
        </w:rPr>
        <w:t>tenant protections and rent-relief programs, the team anticipates a continued increase i</w:t>
      </w:r>
      <w:r w:rsidR="2CD49B88" w:rsidRPr="65033BF9">
        <w:rPr>
          <w:rFonts w:ascii="Arial" w:hAnsi="Arial"/>
          <w:sz w:val="21"/>
          <w:szCs w:val="21"/>
        </w:rPr>
        <w:t>n both participant</w:t>
      </w:r>
      <w:r w:rsidR="55E093EC" w:rsidRPr="65033BF9">
        <w:rPr>
          <w:rFonts w:ascii="Arial" w:hAnsi="Arial"/>
          <w:sz w:val="21"/>
          <w:szCs w:val="21"/>
        </w:rPr>
        <w:t>s</w:t>
      </w:r>
      <w:r w:rsidR="2CD49B88" w:rsidRPr="65033BF9">
        <w:rPr>
          <w:rFonts w:ascii="Arial" w:hAnsi="Arial"/>
          <w:sz w:val="21"/>
          <w:szCs w:val="21"/>
        </w:rPr>
        <w:t xml:space="preserve"> and frequency of which participants will need to access rent relief funds.</w:t>
      </w:r>
    </w:p>
    <w:p w14:paraId="4F77D945" w14:textId="77777777" w:rsidR="00B4753D" w:rsidRDefault="00B4753D" w:rsidP="65033BF9">
      <w:pPr>
        <w:jc w:val="both"/>
        <w:rPr>
          <w:rFonts w:ascii="Arial" w:hAnsi="Arial"/>
          <w:sz w:val="21"/>
          <w:szCs w:val="21"/>
        </w:rPr>
      </w:pPr>
    </w:p>
    <w:p w14:paraId="111E5A42" w14:textId="3116A9A7" w:rsidR="00B4753D" w:rsidRDefault="00980871" w:rsidP="65033BF9">
      <w:pPr>
        <w:jc w:val="both"/>
        <w:rPr>
          <w:rFonts w:ascii="Arial" w:hAnsi="Arial"/>
          <w:sz w:val="21"/>
          <w:szCs w:val="21"/>
        </w:rPr>
      </w:pPr>
      <w:r>
        <w:rPr>
          <w:rFonts w:ascii="Arial" w:hAnsi="Arial"/>
          <w:sz w:val="21"/>
          <w:szCs w:val="21"/>
        </w:rPr>
        <w:t>This is the last year of the Santa Monica Retention program, as the organization has decided to transition to a Santa Monica Older Adult Health and Wellness Program</w:t>
      </w:r>
      <w:r w:rsidR="00F3333B">
        <w:rPr>
          <w:rFonts w:ascii="Arial" w:hAnsi="Arial"/>
          <w:sz w:val="21"/>
          <w:szCs w:val="21"/>
        </w:rPr>
        <w:t xml:space="preserve"> (OAHWP). </w:t>
      </w:r>
      <w:r w:rsidR="00C62BC3">
        <w:rPr>
          <w:rFonts w:ascii="Arial" w:hAnsi="Arial"/>
          <w:sz w:val="21"/>
          <w:szCs w:val="21"/>
        </w:rPr>
        <w:t>Retention c</w:t>
      </w:r>
      <w:r w:rsidR="002E6957">
        <w:rPr>
          <w:rFonts w:ascii="Arial" w:hAnsi="Arial"/>
          <w:sz w:val="21"/>
          <w:szCs w:val="21"/>
        </w:rPr>
        <w:t xml:space="preserve">lients who meet the age </w:t>
      </w:r>
      <w:r w:rsidR="002E6957">
        <w:rPr>
          <w:rFonts w:ascii="Arial" w:hAnsi="Arial"/>
          <w:sz w:val="21"/>
          <w:szCs w:val="21"/>
        </w:rPr>
        <w:lastRenderedPageBreak/>
        <w:t>criteria of 55+ and</w:t>
      </w:r>
      <w:r w:rsidR="00C62BC3">
        <w:rPr>
          <w:rFonts w:ascii="Arial" w:hAnsi="Arial"/>
          <w:sz w:val="21"/>
          <w:szCs w:val="21"/>
        </w:rPr>
        <w:t xml:space="preserve"> who are interested in remaining enrolled in SJC services will automatically be transferred to the OAHWP.</w:t>
      </w:r>
      <w:r w:rsidR="002E6957">
        <w:rPr>
          <w:rFonts w:ascii="Arial" w:hAnsi="Arial"/>
          <w:sz w:val="21"/>
          <w:szCs w:val="21"/>
        </w:rPr>
        <w:t xml:space="preserve"> </w:t>
      </w:r>
      <w:r w:rsidR="00B4753D">
        <w:rPr>
          <w:rFonts w:ascii="Arial" w:hAnsi="Arial"/>
          <w:sz w:val="21"/>
          <w:szCs w:val="21"/>
        </w:rPr>
        <w:t>Staff have been working with clients who</w:t>
      </w:r>
      <w:r w:rsidR="006D24A5">
        <w:rPr>
          <w:rFonts w:ascii="Arial" w:hAnsi="Arial"/>
          <w:sz w:val="21"/>
          <w:szCs w:val="21"/>
        </w:rPr>
        <w:t xml:space="preserve"> don’t meet the age </w:t>
      </w:r>
      <w:r w:rsidR="0031599E">
        <w:rPr>
          <w:rFonts w:ascii="Arial" w:hAnsi="Arial"/>
          <w:sz w:val="21"/>
          <w:szCs w:val="21"/>
        </w:rPr>
        <w:t>eligibility</w:t>
      </w:r>
      <w:r w:rsidR="006D24A5">
        <w:rPr>
          <w:rFonts w:ascii="Arial" w:hAnsi="Arial"/>
          <w:sz w:val="21"/>
          <w:szCs w:val="21"/>
        </w:rPr>
        <w:t xml:space="preserve"> criteria of 55+ </w:t>
      </w:r>
      <w:r w:rsidR="007B3DE3">
        <w:rPr>
          <w:rFonts w:ascii="Arial" w:hAnsi="Arial"/>
          <w:sz w:val="21"/>
          <w:szCs w:val="21"/>
        </w:rPr>
        <w:t xml:space="preserve">for the OAHWP </w:t>
      </w:r>
      <w:r w:rsidR="006D24A5">
        <w:rPr>
          <w:rFonts w:ascii="Arial" w:hAnsi="Arial"/>
          <w:sz w:val="21"/>
          <w:szCs w:val="21"/>
        </w:rPr>
        <w:t>to</w:t>
      </w:r>
      <w:r w:rsidR="007B3DE3">
        <w:rPr>
          <w:rFonts w:ascii="Arial" w:hAnsi="Arial"/>
          <w:sz w:val="21"/>
          <w:szCs w:val="21"/>
        </w:rPr>
        <w:t xml:space="preserve"> assess their needs and refer and link them</w:t>
      </w:r>
      <w:r w:rsidR="006D24A5">
        <w:rPr>
          <w:rFonts w:ascii="Arial" w:hAnsi="Arial"/>
          <w:sz w:val="21"/>
          <w:szCs w:val="21"/>
        </w:rPr>
        <w:t xml:space="preserve"> </w:t>
      </w:r>
      <w:r w:rsidR="007B3DE3">
        <w:rPr>
          <w:rFonts w:ascii="Arial" w:hAnsi="Arial"/>
          <w:sz w:val="21"/>
          <w:szCs w:val="21"/>
        </w:rPr>
        <w:t xml:space="preserve">to appropriate services within St. Joseph’s </w:t>
      </w:r>
      <w:r w:rsidR="006C6539">
        <w:rPr>
          <w:rFonts w:ascii="Arial" w:hAnsi="Arial"/>
          <w:sz w:val="21"/>
          <w:szCs w:val="21"/>
        </w:rPr>
        <w:t xml:space="preserve">and partner </w:t>
      </w:r>
      <w:r w:rsidR="00FF2703">
        <w:rPr>
          <w:rFonts w:ascii="Arial" w:hAnsi="Arial"/>
          <w:sz w:val="21"/>
          <w:szCs w:val="21"/>
        </w:rPr>
        <w:t>organizations</w:t>
      </w:r>
      <w:r w:rsidR="006D24A5">
        <w:rPr>
          <w:rFonts w:ascii="Arial" w:hAnsi="Arial"/>
          <w:sz w:val="21"/>
          <w:szCs w:val="21"/>
        </w:rPr>
        <w:t>.</w:t>
      </w:r>
    </w:p>
    <w:p w14:paraId="4893CC14"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649D72B6" w:rsidP="65033BF9">
      <w:pPr>
        <w:pStyle w:val="BodyText"/>
        <w:rPr>
          <w:i w:val="0"/>
          <w:iCs w:val="0"/>
          <w:sz w:val="21"/>
          <w:szCs w:val="21"/>
        </w:rPr>
      </w:pPr>
      <w:r w:rsidRPr="65033BF9">
        <w:rPr>
          <w:b/>
          <w:bCs/>
          <w:i w:val="0"/>
          <w:iCs w:val="0"/>
          <w:sz w:val="21"/>
          <w:szCs w:val="21"/>
        </w:rPr>
        <w:t>Please highlight any new efforts to collaborate with other service provide</w:t>
      </w:r>
      <w:r w:rsidR="080ACAFE" w:rsidRPr="65033BF9">
        <w:rPr>
          <w:b/>
          <w:bCs/>
          <w:i w:val="0"/>
          <w:iCs w:val="0"/>
          <w:sz w:val="21"/>
          <w:szCs w:val="21"/>
        </w:rPr>
        <w:t xml:space="preserve">rs and/or leverage services. </w:t>
      </w:r>
      <w:r w:rsidRPr="65033BF9">
        <w:rPr>
          <w:b/>
          <w:bCs/>
          <w:i w:val="0"/>
          <w:iCs w:val="0"/>
          <w:sz w:val="21"/>
          <w:szCs w:val="21"/>
        </w:rPr>
        <w:t>Please include the agency name(s) and service(s) provided</w:t>
      </w:r>
      <w:r w:rsidRPr="65033BF9">
        <w:rPr>
          <w:i w:val="0"/>
          <w:iCs w:val="0"/>
          <w:sz w:val="21"/>
          <w:szCs w:val="21"/>
        </w:rPr>
        <w:t>.</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69F54A" w14:textId="3E8FA59F" w:rsidR="00E26D0F" w:rsidRDefault="760775DE" w:rsidP="65033B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 w:rsidRPr="65033BF9">
        <w:rPr>
          <w:rFonts w:ascii="Arial" w:eastAsia="Arial" w:hAnsi="Arial" w:cs="Arial"/>
          <w:sz w:val="21"/>
          <w:szCs w:val="21"/>
        </w:rPr>
        <w:t>SM Retention applies the CES (Homeless Coordinated Entry System) screening tool as a means for new intake entries and triage for applicable housing interventions which include Time-Limited Subsidies, CES for Families and Permanent Supportive Housing (PSH) Housing Programs that assist with streamlining staffs’ ability to determine clients’ eligibility for services and diverts refer appropriately. SM Retention also assesses clients’ needs to help identify barriers, interest, and risk to housing stability, and to make adequate referrals to services such as food pantry, CBEST (county program that supports clients in securing benefits), behavioral health programs, employment development, and educational training programs.</w:t>
      </w:r>
    </w:p>
    <w:p w14:paraId="1C01B411" w14:textId="12323C57" w:rsidR="00C00F33" w:rsidRDefault="00C00F33" w:rsidP="65033B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3E412F78" w14:textId="7393AC69" w:rsidR="00C00F33" w:rsidRDefault="00C00F33" w:rsidP="0DAB8AB7">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0DAB8AB7">
        <w:rPr>
          <w:rFonts w:ascii="Arial" w:hAnsi="Arial"/>
          <w:sz w:val="21"/>
          <w:szCs w:val="21"/>
        </w:rPr>
        <w:t xml:space="preserve">St. Joseph Center also implemented a Universal Client Feedback Survey that was used across the agency as a gauge of client participation.   This survey is available in hard copy and electronic form along with being available in Spanish and English. </w:t>
      </w:r>
      <w:r w:rsidR="00CF7A5C">
        <w:rPr>
          <w:rFonts w:ascii="Arial" w:hAnsi="Arial"/>
          <w:sz w:val="21"/>
          <w:szCs w:val="21"/>
        </w:rPr>
        <w:t xml:space="preserve">61 retention clients completed the survey. </w:t>
      </w:r>
      <w:r w:rsidRPr="0DAB8AB7">
        <w:rPr>
          <w:rFonts w:ascii="Arial" w:hAnsi="Arial"/>
          <w:sz w:val="21"/>
          <w:szCs w:val="21"/>
        </w:rPr>
        <w:t>The following are highlights of the Universal Client Feedback Survey:</w:t>
      </w:r>
    </w:p>
    <w:p w14:paraId="36F4151D" w14:textId="77777777" w:rsidR="00C00F33" w:rsidRDefault="00C00F33"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170411D" w14:textId="36D255D1" w:rsidR="00C00F33" w:rsidRDefault="11659173" w:rsidP="0DAB8AB7">
      <w:pPr>
        <w:pStyle w:val="ListParagraph"/>
        <w:numPr>
          <w:ilvl w:val="0"/>
          <w:numId w:val="23"/>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0DAB8AB7">
        <w:rPr>
          <w:rFonts w:ascii="Arial" w:hAnsi="Arial"/>
          <w:sz w:val="21"/>
          <w:szCs w:val="21"/>
        </w:rPr>
        <w:t>62</w:t>
      </w:r>
      <w:r w:rsidR="00487EFC" w:rsidRPr="0DAB8AB7">
        <w:rPr>
          <w:rFonts w:ascii="Arial" w:hAnsi="Arial"/>
          <w:sz w:val="21"/>
          <w:szCs w:val="21"/>
        </w:rPr>
        <w:t xml:space="preserve">% of participants report </w:t>
      </w:r>
      <w:r w:rsidR="00BA11B9" w:rsidRPr="0DAB8AB7">
        <w:rPr>
          <w:rFonts w:ascii="Arial" w:hAnsi="Arial"/>
          <w:sz w:val="21"/>
          <w:szCs w:val="21"/>
        </w:rPr>
        <w:t>“strongly agree”</w:t>
      </w:r>
      <w:r w:rsidR="41B9D9B8" w:rsidRPr="0DAB8AB7">
        <w:rPr>
          <w:rFonts w:ascii="Arial" w:hAnsi="Arial"/>
          <w:sz w:val="21"/>
          <w:szCs w:val="21"/>
        </w:rPr>
        <w:t>/”agree</w:t>
      </w:r>
      <w:r w:rsidR="00BA11B9" w:rsidRPr="0DAB8AB7">
        <w:rPr>
          <w:rFonts w:ascii="Arial" w:hAnsi="Arial"/>
          <w:sz w:val="21"/>
          <w:szCs w:val="21"/>
        </w:rPr>
        <w:t>” to doing better at work and in school</w:t>
      </w:r>
    </w:p>
    <w:p w14:paraId="0F238D90" w14:textId="3E32F517" w:rsidR="00BA11B9" w:rsidRDefault="1B248318" w:rsidP="0DAB8AB7">
      <w:pPr>
        <w:pStyle w:val="ListParagraph"/>
        <w:numPr>
          <w:ilvl w:val="0"/>
          <w:numId w:val="23"/>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0DAB8AB7">
        <w:rPr>
          <w:rFonts w:ascii="Arial" w:hAnsi="Arial"/>
          <w:sz w:val="21"/>
          <w:szCs w:val="21"/>
        </w:rPr>
        <w:t>67</w:t>
      </w:r>
      <w:r w:rsidR="531F7B07" w:rsidRPr="0DAB8AB7">
        <w:rPr>
          <w:rFonts w:ascii="Arial" w:hAnsi="Arial"/>
          <w:sz w:val="21"/>
          <w:szCs w:val="21"/>
        </w:rPr>
        <w:t>% of participants report “strongly agree”</w:t>
      </w:r>
      <w:r w:rsidR="46DB9F37" w:rsidRPr="0DAB8AB7">
        <w:rPr>
          <w:rFonts w:ascii="Arial" w:hAnsi="Arial"/>
          <w:sz w:val="21"/>
          <w:szCs w:val="21"/>
        </w:rPr>
        <w:t xml:space="preserve"> /”agree”</w:t>
      </w:r>
      <w:r w:rsidR="531F7B07" w:rsidRPr="0DAB8AB7">
        <w:rPr>
          <w:rFonts w:ascii="Arial" w:hAnsi="Arial"/>
          <w:sz w:val="21"/>
          <w:szCs w:val="21"/>
        </w:rPr>
        <w:t xml:space="preserve"> to improvement in mental health</w:t>
      </w:r>
    </w:p>
    <w:p w14:paraId="10E38222" w14:textId="02FC2007" w:rsidR="5036DCF5" w:rsidRDefault="505D387C" w:rsidP="0DAB8AB7">
      <w:pPr>
        <w:pStyle w:val="ListParagraph"/>
        <w:numPr>
          <w:ilvl w:val="0"/>
          <w:numId w:val="23"/>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0DAB8AB7">
        <w:rPr>
          <w:rFonts w:ascii="Arial" w:hAnsi="Arial"/>
          <w:sz w:val="21"/>
          <w:szCs w:val="21"/>
        </w:rPr>
        <w:t>77</w:t>
      </w:r>
      <w:r w:rsidR="5036DCF5" w:rsidRPr="0DAB8AB7">
        <w:rPr>
          <w:rFonts w:ascii="Arial" w:hAnsi="Arial"/>
          <w:sz w:val="21"/>
          <w:szCs w:val="21"/>
        </w:rPr>
        <w:t>% of participants report “strongly agree”</w:t>
      </w:r>
      <w:r w:rsidR="10E8BF74" w:rsidRPr="0DAB8AB7">
        <w:rPr>
          <w:rFonts w:ascii="Arial" w:hAnsi="Arial"/>
          <w:sz w:val="21"/>
          <w:szCs w:val="21"/>
        </w:rPr>
        <w:t xml:space="preserve"> /”agree”</w:t>
      </w:r>
      <w:r w:rsidR="5036DCF5" w:rsidRPr="0DAB8AB7">
        <w:rPr>
          <w:rFonts w:ascii="Arial" w:hAnsi="Arial"/>
          <w:sz w:val="21"/>
          <w:szCs w:val="21"/>
        </w:rPr>
        <w:t xml:space="preserve"> to better ability to deal with crisis.</w:t>
      </w:r>
    </w:p>
    <w:p w14:paraId="0AA1A996" w14:textId="1D655695" w:rsidR="008A1366" w:rsidRDefault="5EDE578E" w:rsidP="0DAB8AB7">
      <w:pPr>
        <w:pStyle w:val="ListParagraph"/>
        <w:numPr>
          <w:ilvl w:val="0"/>
          <w:numId w:val="23"/>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0DAB8AB7">
        <w:rPr>
          <w:rFonts w:ascii="Arial" w:hAnsi="Arial"/>
          <w:sz w:val="21"/>
          <w:szCs w:val="21"/>
        </w:rPr>
        <w:t>80</w:t>
      </w:r>
      <w:r w:rsidR="0FACD173" w:rsidRPr="0DAB8AB7">
        <w:rPr>
          <w:rFonts w:ascii="Arial" w:hAnsi="Arial"/>
          <w:sz w:val="21"/>
          <w:szCs w:val="21"/>
        </w:rPr>
        <w:t>% of participants report “strongly agree”</w:t>
      </w:r>
      <w:r w:rsidR="61481C09" w:rsidRPr="0DAB8AB7">
        <w:rPr>
          <w:rFonts w:ascii="Arial" w:hAnsi="Arial"/>
          <w:sz w:val="21"/>
          <w:szCs w:val="21"/>
        </w:rPr>
        <w:t xml:space="preserve"> /”agree”</w:t>
      </w:r>
      <w:r w:rsidR="0FACD173" w:rsidRPr="0DAB8AB7">
        <w:rPr>
          <w:rFonts w:ascii="Arial" w:hAnsi="Arial"/>
          <w:sz w:val="21"/>
          <w:szCs w:val="21"/>
        </w:rPr>
        <w:t xml:space="preserve"> to being more equipped </w:t>
      </w:r>
      <w:r w:rsidR="26257190" w:rsidRPr="0DAB8AB7">
        <w:rPr>
          <w:rFonts w:ascii="Arial" w:hAnsi="Arial"/>
          <w:sz w:val="21"/>
          <w:szCs w:val="21"/>
        </w:rPr>
        <w:t>to effectively deal with daily challenges</w:t>
      </w:r>
    </w:p>
    <w:p w14:paraId="53F1D19D" w14:textId="53B741C9" w:rsidR="00562CB7" w:rsidRPr="00C00F33" w:rsidRDefault="74D64DD4" w:rsidP="0DAB8AB7">
      <w:pPr>
        <w:pStyle w:val="ListParagraph"/>
        <w:numPr>
          <w:ilvl w:val="0"/>
          <w:numId w:val="23"/>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0DAB8AB7">
        <w:rPr>
          <w:rFonts w:ascii="Arial" w:hAnsi="Arial"/>
          <w:sz w:val="21"/>
          <w:szCs w:val="21"/>
        </w:rPr>
        <w:t>75</w:t>
      </w:r>
      <w:r w:rsidR="1EBE6636" w:rsidRPr="0DAB8AB7">
        <w:rPr>
          <w:rFonts w:ascii="Arial" w:hAnsi="Arial"/>
          <w:sz w:val="21"/>
          <w:szCs w:val="21"/>
        </w:rPr>
        <w:t>% of participants report “strongly agree”</w:t>
      </w:r>
      <w:r w:rsidR="35650313" w:rsidRPr="0DAB8AB7">
        <w:rPr>
          <w:rFonts w:ascii="Arial" w:hAnsi="Arial"/>
          <w:sz w:val="21"/>
          <w:szCs w:val="21"/>
        </w:rPr>
        <w:t xml:space="preserve"> /”agree”</w:t>
      </w:r>
      <w:r w:rsidR="1EBE6636" w:rsidRPr="0DAB8AB7">
        <w:rPr>
          <w:rFonts w:ascii="Arial" w:hAnsi="Arial"/>
          <w:sz w:val="21"/>
          <w:szCs w:val="21"/>
        </w:rPr>
        <w:t xml:space="preserve"> to getting along better with friends and families.</w:t>
      </w:r>
    </w:p>
    <w:p w14:paraId="54D4591F" w14:textId="38639A94" w:rsidR="6F732C01" w:rsidRDefault="30613F92" w:rsidP="0DAB8AB7">
      <w:pPr>
        <w:pStyle w:val="ListParagraph"/>
        <w:numPr>
          <w:ilvl w:val="0"/>
          <w:numId w:val="23"/>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0DAB8AB7">
        <w:rPr>
          <w:sz w:val="21"/>
          <w:szCs w:val="21"/>
        </w:rPr>
        <w:t>85</w:t>
      </w:r>
      <w:r w:rsidR="6F732C01" w:rsidRPr="0DAB8AB7">
        <w:rPr>
          <w:sz w:val="21"/>
          <w:szCs w:val="21"/>
        </w:rPr>
        <w:t xml:space="preserve">% of participants report </w:t>
      </w:r>
      <w:r w:rsidR="6F732C01" w:rsidRPr="0DAB8AB7">
        <w:rPr>
          <w:sz w:val="21"/>
          <w:szCs w:val="21"/>
        </w:rPr>
        <w:t>“</w:t>
      </w:r>
      <w:r w:rsidR="6F732C01" w:rsidRPr="0DAB8AB7">
        <w:rPr>
          <w:sz w:val="21"/>
          <w:szCs w:val="21"/>
        </w:rPr>
        <w:t>strongly agree</w:t>
      </w:r>
      <w:r w:rsidR="6F732C01" w:rsidRPr="0DAB8AB7">
        <w:rPr>
          <w:sz w:val="21"/>
          <w:szCs w:val="21"/>
        </w:rPr>
        <w:t>”</w:t>
      </w:r>
      <w:r w:rsidR="4A374F11" w:rsidRPr="0DAB8AB7">
        <w:rPr>
          <w:rFonts w:ascii="Arial" w:hAnsi="Arial"/>
          <w:sz w:val="21"/>
          <w:szCs w:val="21"/>
        </w:rPr>
        <w:t xml:space="preserve"> /”agree”</w:t>
      </w:r>
      <w:r w:rsidR="6F732C01" w:rsidRPr="0DAB8AB7">
        <w:rPr>
          <w:sz w:val="21"/>
          <w:szCs w:val="21"/>
        </w:rPr>
        <w:t xml:space="preserve"> to overall satisfaction of services with SJC</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057FD72D" w:rsidR="00D04539" w:rsidRDefault="649D72B6" w:rsidP="008E334C">
      <w:pPr>
        <w:pStyle w:val="BodyText"/>
        <w:numPr>
          <w:ilvl w:val="0"/>
          <w:numId w:val="25"/>
        </w:numPr>
        <w:tabs>
          <w:tab w:val="clear" w:pos="1980"/>
          <w:tab w:val="clear" w:pos="2520"/>
          <w:tab w:val="left" w:pos="1710"/>
          <w:tab w:val="left" w:pos="2880"/>
        </w:tabs>
      </w:pPr>
      <w:r w:rsidRPr="65033BF9">
        <w:rPr>
          <w:i w:val="0"/>
          <w:iCs w:val="0"/>
          <w:sz w:val="21"/>
          <w:szCs w:val="21"/>
        </w:rPr>
        <w:t>Number of Board meetings conducted during the reporting period</w:t>
      </w:r>
      <w:r w:rsidR="127D39A4" w:rsidRPr="65033BF9">
        <w:rPr>
          <w:i w:val="0"/>
          <w:iCs w:val="0"/>
          <w:sz w:val="21"/>
          <w:szCs w:val="21"/>
        </w:rPr>
        <w:t xml:space="preserve"> – </w:t>
      </w:r>
      <w:r w:rsidR="127D39A4" w:rsidRPr="65033BF9">
        <w:rPr>
          <w:rFonts w:eastAsia="Arial" w:cs="Arial"/>
          <w:i w:val="0"/>
          <w:iCs w:val="0"/>
          <w:sz w:val="21"/>
          <w:szCs w:val="21"/>
        </w:rPr>
        <w:t>3 board meetings have occurred this reporting period.  The Board met on</w:t>
      </w:r>
      <w:r w:rsidR="127D39A4" w:rsidRPr="65033BF9">
        <w:rPr>
          <w:rFonts w:eastAsia="Arial" w:cs="Arial"/>
          <w:i w:val="0"/>
          <w:iCs w:val="0"/>
          <w:szCs w:val="22"/>
        </w:rPr>
        <w:t xml:space="preserve"> </w:t>
      </w:r>
      <w:r w:rsidR="127D39A4" w:rsidRPr="65033BF9">
        <w:rPr>
          <w:rFonts w:eastAsia="Arial" w:cs="Arial"/>
          <w:i w:val="0"/>
          <w:iCs w:val="0"/>
          <w:sz w:val="21"/>
          <w:szCs w:val="21"/>
        </w:rPr>
        <w:t>January 26</w:t>
      </w:r>
      <w:r w:rsidR="127D39A4" w:rsidRPr="65033BF9">
        <w:rPr>
          <w:rFonts w:eastAsia="Arial" w:cs="Arial"/>
          <w:i w:val="0"/>
          <w:iCs w:val="0"/>
          <w:sz w:val="21"/>
          <w:szCs w:val="21"/>
          <w:vertAlign w:val="superscript"/>
        </w:rPr>
        <w:t>th</w:t>
      </w:r>
      <w:r w:rsidR="127D39A4" w:rsidRPr="65033BF9">
        <w:rPr>
          <w:rFonts w:eastAsia="Arial" w:cs="Arial"/>
          <w:i w:val="0"/>
          <w:iCs w:val="0"/>
          <w:sz w:val="21"/>
          <w:szCs w:val="21"/>
        </w:rPr>
        <w:t>, 2023, April 27</w:t>
      </w:r>
      <w:r w:rsidR="127D39A4" w:rsidRPr="65033BF9">
        <w:rPr>
          <w:rFonts w:eastAsia="Arial" w:cs="Arial"/>
          <w:i w:val="0"/>
          <w:iCs w:val="0"/>
          <w:sz w:val="21"/>
          <w:szCs w:val="21"/>
          <w:vertAlign w:val="superscript"/>
        </w:rPr>
        <w:t>th</w:t>
      </w:r>
      <w:r w:rsidR="127D39A4" w:rsidRPr="65033BF9">
        <w:rPr>
          <w:rFonts w:eastAsia="Arial" w:cs="Arial"/>
          <w:i w:val="0"/>
          <w:iCs w:val="0"/>
          <w:sz w:val="21"/>
          <w:szCs w:val="21"/>
        </w:rPr>
        <w:t>, 2023, and June 22</w:t>
      </w:r>
      <w:r w:rsidR="127D39A4" w:rsidRPr="65033BF9">
        <w:rPr>
          <w:rFonts w:eastAsia="Arial" w:cs="Arial"/>
          <w:i w:val="0"/>
          <w:iCs w:val="0"/>
          <w:sz w:val="21"/>
          <w:szCs w:val="21"/>
          <w:vertAlign w:val="superscript"/>
        </w:rPr>
        <w:t>nd</w:t>
      </w:r>
      <w:r w:rsidR="127D39A4" w:rsidRPr="65033BF9">
        <w:rPr>
          <w:rFonts w:eastAsia="Arial" w:cs="Arial"/>
          <w:i w:val="0"/>
          <w:iCs w:val="0"/>
          <w:sz w:val="21"/>
          <w:szCs w:val="21"/>
        </w:rPr>
        <w:t xml:space="preserve">, 2023.  </w:t>
      </w:r>
      <w:r w:rsidR="00882BC6" w:rsidRPr="00655717">
        <w:rPr>
          <w:rStyle w:val="normaltextrun"/>
          <w:rFonts w:cs="Arial"/>
          <w:i w:val="0"/>
          <w:iCs w:val="0"/>
          <w:color w:val="000000"/>
          <w:sz w:val="21"/>
          <w:szCs w:val="21"/>
          <w:shd w:val="clear" w:color="auto" w:fill="FFFFFF"/>
        </w:rPr>
        <w:t>The board met for a retreat on October 15th, 2022, but did not conduct official business.</w:t>
      </w:r>
      <w:r w:rsidR="00882BC6">
        <w:rPr>
          <w:rStyle w:val="normaltextrun"/>
          <w:rFonts w:cs="Arial"/>
          <w:color w:val="000000"/>
          <w:sz w:val="21"/>
          <w:szCs w:val="21"/>
          <w:shd w:val="clear" w:color="auto" w:fill="FFFFFF"/>
        </w:rPr>
        <w:t xml:space="preserve"> </w:t>
      </w:r>
      <w:r w:rsidR="127D39A4" w:rsidRPr="65033BF9">
        <w:rPr>
          <w:rFonts w:eastAsia="Arial" w:cs="Arial"/>
          <w:i w:val="0"/>
          <w:iCs w:val="0"/>
          <w:sz w:val="21"/>
          <w:szCs w:val="21"/>
        </w:rPr>
        <w:t xml:space="preserve">The board is next scheduled to meet on October </w:t>
      </w:r>
      <w:r w:rsidR="51221ED5" w:rsidRPr="65033BF9">
        <w:rPr>
          <w:rFonts w:eastAsia="Arial" w:cs="Arial"/>
          <w:i w:val="0"/>
          <w:iCs w:val="0"/>
          <w:sz w:val="21"/>
          <w:szCs w:val="21"/>
        </w:rPr>
        <w:t>14</w:t>
      </w:r>
      <w:r w:rsidR="51221ED5" w:rsidRPr="65033BF9">
        <w:rPr>
          <w:rFonts w:eastAsia="Arial" w:cs="Arial"/>
          <w:i w:val="0"/>
          <w:iCs w:val="0"/>
          <w:sz w:val="21"/>
          <w:szCs w:val="21"/>
          <w:vertAlign w:val="superscript"/>
        </w:rPr>
        <w:t>th</w:t>
      </w:r>
      <w:r w:rsidR="51221ED5" w:rsidRPr="65033BF9">
        <w:rPr>
          <w:rFonts w:eastAsia="Arial" w:cs="Arial"/>
          <w:i w:val="0"/>
          <w:iCs w:val="0"/>
          <w:sz w:val="21"/>
          <w:szCs w:val="21"/>
        </w:rPr>
        <w:t>, 2023.</w:t>
      </w:r>
    </w:p>
    <w:p w14:paraId="6BBE0166" w14:textId="4B614AEF" w:rsidR="00D04539" w:rsidRDefault="649D72B6" w:rsidP="008E334C">
      <w:pPr>
        <w:pStyle w:val="BodyText"/>
        <w:numPr>
          <w:ilvl w:val="0"/>
          <w:numId w:val="25"/>
        </w:numPr>
        <w:tabs>
          <w:tab w:val="clear" w:pos="1980"/>
          <w:tab w:val="clear" w:pos="2520"/>
          <w:tab w:val="left" w:pos="1710"/>
          <w:tab w:val="left" w:pos="2880"/>
        </w:tabs>
        <w:rPr>
          <w:i w:val="0"/>
          <w:iCs w:val="0"/>
          <w:sz w:val="21"/>
          <w:szCs w:val="21"/>
        </w:rPr>
      </w:pPr>
      <w:r w:rsidRPr="65033BF9">
        <w:rPr>
          <w:i w:val="0"/>
          <w:iCs w:val="0"/>
          <w:sz w:val="21"/>
          <w:szCs w:val="21"/>
        </w:rPr>
        <w:t>Average Board member attendance</w:t>
      </w:r>
      <w:r w:rsidR="3074916E" w:rsidRPr="65033BF9">
        <w:rPr>
          <w:i w:val="0"/>
          <w:iCs w:val="0"/>
          <w:sz w:val="21"/>
          <w:szCs w:val="21"/>
        </w:rPr>
        <w:t xml:space="preserve"> – The average attendance for the board meetings this period varied between 60%-70% of board members attending.</w:t>
      </w:r>
    </w:p>
    <w:p w14:paraId="73488549" w14:textId="7420A093" w:rsidR="00D04539" w:rsidRDefault="449F38EA" w:rsidP="008E334C">
      <w:pPr>
        <w:pStyle w:val="BodyText"/>
        <w:numPr>
          <w:ilvl w:val="0"/>
          <w:numId w:val="25"/>
        </w:numPr>
        <w:tabs>
          <w:tab w:val="clear" w:pos="1980"/>
          <w:tab w:val="clear" w:pos="2520"/>
          <w:tab w:val="left" w:pos="1710"/>
          <w:tab w:val="left" w:pos="2880"/>
        </w:tabs>
        <w:rPr>
          <w:i w:val="0"/>
          <w:iCs w:val="0"/>
          <w:sz w:val="21"/>
          <w:szCs w:val="21"/>
        </w:rPr>
      </w:pPr>
      <w:r w:rsidRPr="63CE5288">
        <w:rPr>
          <w:i w:val="0"/>
          <w:iCs w:val="0"/>
          <w:sz w:val="21"/>
          <w:szCs w:val="21"/>
        </w:rPr>
        <w:t>Board development activities conducted during the reporting period</w:t>
      </w:r>
      <w:r w:rsidR="16D95171" w:rsidRPr="63CE5288">
        <w:rPr>
          <w:i w:val="0"/>
          <w:iCs w:val="0"/>
          <w:sz w:val="21"/>
          <w:szCs w:val="21"/>
        </w:rPr>
        <w:t xml:space="preserve"> – </w:t>
      </w:r>
      <w:r w:rsidR="5E7754F9" w:rsidRPr="63CE5288">
        <w:rPr>
          <w:i w:val="0"/>
          <w:iCs w:val="0"/>
          <w:sz w:val="21"/>
          <w:szCs w:val="21"/>
        </w:rPr>
        <w:t>The board met on January 9</w:t>
      </w:r>
      <w:r w:rsidR="5E7754F9" w:rsidRPr="63CE5288">
        <w:rPr>
          <w:i w:val="0"/>
          <w:iCs w:val="0"/>
          <w:sz w:val="21"/>
          <w:szCs w:val="21"/>
          <w:vertAlign w:val="superscript"/>
        </w:rPr>
        <w:t>th</w:t>
      </w:r>
      <w:r w:rsidR="5E7754F9" w:rsidRPr="63CE5288">
        <w:rPr>
          <w:i w:val="0"/>
          <w:iCs w:val="0"/>
          <w:sz w:val="21"/>
          <w:szCs w:val="21"/>
        </w:rPr>
        <w:t>, 2023 and May 30</w:t>
      </w:r>
      <w:r w:rsidR="5E7754F9" w:rsidRPr="63CE5288">
        <w:rPr>
          <w:i w:val="0"/>
          <w:iCs w:val="0"/>
          <w:sz w:val="21"/>
          <w:szCs w:val="21"/>
          <w:vertAlign w:val="superscript"/>
        </w:rPr>
        <w:t>th</w:t>
      </w:r>
      <w:r w:rsidR="5E7754F9" w:rsidRPr="63CE5288">
        <w:rPr>
          <w:i w:val="0"/>
          <w:iCs w:val="0"/>
          <w:sz w:val="21"/>
          <w:szCs w:val="21"/>
        </w:rPr>
        <w:t xml:space="preserve">, 2023 to </w:t>
      </w:r>
      <w:r w:rsidR="23F1AB83" w:rsidRPr="63CE5288">
        <w:rPr>
          <w:i w:val="0"/>
          <w:iCs w:val="0"/>
          <w:sz w:val="21"/>
          <w:szCs w:val="21"/>
        </w:rPr>
        <w:t xml:space="preserve">coordinate and plan out </w:t>
      </w:r>
      <w:proofErr w:type="gramStart"/>
      <w:r w:rsidR="23F1AB83" w:rsidRPr="63CE5288">
        <w:rPr>
          <w:i w:val="0"/>
          <w:iCs w:val="0"/>
          <w:sz w:val="21"/>
          <w:szCs w:val="21"/>
        </w:rPr>
        <w:t>he</w:t>
      </w:r>
      <w:proofErr w:type="gramEnd"/>
      <w:r w:rsidR="23F1AB83" w:rsidRPr="63CE5288">
        <w:rPr>
          <w:i w:val="0"/>
          <w:iCs w:val="0"/>
          <w:sz w:val="21"/>
          <w:szCs w:val="21"/>
        </w:rPr>
        <w:t xml:space="preserve"> St. Joseph Center 46</w:t>
      </w:r>
      <w:r w:rsidR="23F1AB83" w:rsidRPr="63CE5288">
        <w:rPr>
          <w:i w:val="0"/>
          <w:iCs w:val="0"/>
          <w:sz w:val="21"/>
          <w:szCs w:val="21"/>
          <w:vertAlign w:val="superscript"/>
        </w:rPr>
        <w:t>th</w:t>
      </w:r>
      <w:r w:rsidR="23F1AB83" w:rsidRPr="63CE5288">
        <w:rPr>
          <w:i w:val="0"/>
          <w:iCs w:val="0"/>
          <w:sz w:val="21"/>
          <w:szCs w:val="21"/>
        </w:rPr>
        <w:t xml:space="preserve"> </w:t>
      </w:r>
      <w:r w:rsidR="3B826CE9" w:rsidRPr="63CE5288">
        <w:rPr>
          <w:i w:val="0"/>
          <w:iCs w:val="0"/>
          <w:sz w:val="21"/>
          <w:szCs w:val="21"/>
        </w:rPr>
        <w:t>Anniversary</w:t>
      </w:r>
      <w:r w:rsidR="23F1AB83" w:rsidRPr="63CE5288">
        <w:rPr>
          <w:i w:val="0"/>
          <w:iCs w:val="0"/>
          <w:sz w:val="21"/>
          <w:szCs w:val="21"/>
        </w:rPr>
        <w:t xml:space="preserve"> fundraising Gala which took place on June 3</w:t>
      </w:r>
      <w:r w:rsidR="23F1AB83" w:rsidRPr="63CE5288">
        <w:rPr>
          <w:i w:val="0"/>
          <w:iCs w:val="0"/>
          <w:sz w:val="21"/>
          <w:szCs w:val="21"/>
          <w:vertAlign w:val="superscript"/>
        </w:rPr>
        <w:t>rd</w:t>
      </w:r>
      <w:r w:rsidR="23F1AB83" w:rsidRPr="63CE5288">
        <w:rPr>
          <w:i w:val="0"/>
          <w:iCs w:val="0"/>
          <w:sz w:val="21"/>
          <w:szCs w:val="21"/>
        </w:rPr>
        <w:t>, 2023.</w:t>
      </w:r>
    </w:p>
    <w:p w14:paraId="402E3CA1" w14:textId="5F5D055B" w:rsidR="00D04539" w:rsidRDefault="649D72B6" w:rsidP="008E334C">
      <w:pPr>
        <w:pStyle w:val="BodyText"/>
        <w:numPr>
          <w:ilvl w:val="0"/>
          <w:numId w:val="25"/>
        </w:numPr>
        <w:tabs>
          <w:tab w:val="clear" w:pos="1980"/>
          <w:tab w:val="clear" w:pos="2520"/>
          <w:tab w:val="left" w:pos="1710"/>
          <w:tab w:val="left" w:pos="2880"/>
        </w:tabs>
        <w:rPr>
          <w:i w:val="0"/>
          <w:iCs w:val="0"/>
          <w:sz w:val="21"/>
          <w:szCs w:val="21"/>
        </w:rPr>
      </w:pPr>
      <w:r w:rsidRPr="65033BF9">
        <w:rPr>
          <w:i w:val="0"/>
          <w:iCs w:val="0"/>
          <w:sz w:val="21"/>
          <w:szCs w:val="21"/>
        </w:rPr>
        <w:t>Significant policy directions or actions taken by the Board during the reporting period</w:t>
      </w:r>
      <w:r w:rsidR="39062291" w:rsidRPr="65033BF9">
        <w:rPr>
          <w:i w:val="0"/>
          <w:iCs w:val="0"/>
          <w:sz w:val="21"/>
          <w:szCs w:val="21"/>
        </w:rPr>
        <w:t xml:space="preserve"> - With all the transitions that have occurred throughout this reporting period at St. Joseph Center, such as departures of several high-level executive management positions – the boards’ most impactful decision has been appointing LaTonya Smith, Interim President and CEO.</w:t>
      </w:r>
    </w:p>
    <w:p w14:paraId="48D8B0BF" w14:textId="18BABD8E" w:rsidR="00D04539" w:rsidRDefault="649D72B6" w:rsidP="65033BF9">
      <w:pPr>
        <w:pStyle w:val="BodyText"/>
        <w:numPr>
          <w:ilvl w:val="0"/>
          <w:numId w:val="4"/>
        </w:numPr>
        <w:tabs>
          <w:tab w:val="clear" w:pos="1980"/>
          <w:tab w:val="clear" w:pos="2520"/>
          <w:tab w:val="left" w:pos="1710"/>
          <w:tab w:val="left" w:pos="2880"/>
        </w:tabs>
        <w:rPr>
          <w:i w:val="0"/>
          <w:iCs w:val="0"/>
          <w:sz w:val="21"/>
          <w:szCs w:val="21"/>
        </w:rPr>
      </w:pPr>
      <w:r w:rsidRPr="65033BF9">
        <w:rPr>
          <w:i w:val="0"/>
          <w:iCs w:val="0"/>
          <w:sz w:val="21"/>
          <w:szCs w:val="21"/>
        </w:rPr>
        <w:t>Number of board members who reside and/or work in Santa Monica</w:t>
      </w:r>
      <w:r w:rsidR="302CDBB9" w:rsidRPr="65033BF9">
        <w:rPr>
          <w:i w:val="0"/>
          <w:iCs w:val="0"/>
          <w:sz w:val="21"/>
          <w:szCs w:val="21"/>
        </w:rPr>
        <w:t xml:space="preserve"> - 2</w:t>
      </w:r>
      <w:smartTag w:uri="urn:schemas-microsoft-com:office:smarttags" w:element="place"/>
      <w:smartTag w:uri="urn:schemas-microsoft-com:office:smarttags" w:element="City"/>
    </w:p>
    <w:p w14:paraId="74E7685C" w14:textId="77777777" w:rsidR="008E334C" w:rsidRDefault="649D72B6" w:rsidP="008E334C">
      <w:pPr>
        <w:pStyle w:val="BodyText"/>
        <w:numPr>
          <w:ilvl w:val="0"/>
          <w:numId w:val="4"/>
        </w:numPr>
        <w:tabs>
          <w:tab w:val="clear" w:pos="1980"/>
          <w:tab w:val="clear" w:pos="2520"/>
          <w:tab w:val="left" w:pos="1710"/>
          <w:tab w:val="left" w:pos="2880"/>
        </w:tabs>
        <w:rPr>
          <w:i w:val="0"/>
          <w:iCs w:val="0"/>
          <w:sz w:val="21"/>
          <w:szCs w:val="21"/>
        </w:rPr>
      </w:pPr>
      <w:r w:rsidRPr="65033BF9">
        <w:rPr>
          <w:i w:val="0"/>
          <w:iCs w:val="0"/>
          <w:sz w:val="21"/>
          <w:szCs w:val="21"/>
        </w:rPr>
        <w:t>Board vacancies and plans to fill those vacancies, if applicable</w:t>
      </w:r>
      <w:r w:rsidR="0D8E37C7" w:rsidRPr="65033BF9">
        <w:rPr>
          <w:i w:val="0"/>
          <w:iCs w:val="0"/>
          <w:sz w:val="21"/>
          <w:szCs w:val="21"/>
        </w:rPr>
        <w:t xml:space="preserve"> – There are 3 current vacancies.  The </w:t>
      </w:r>
    </w:p>
    <w:p w14:paraId="3C017B6F" w14:textId="0B311460" w:rsidR="00D04539" w:rsidRDefault="0D8E37C7" w:rsidP="008E334C">
      <w:pPr>
        <w:pStyle w:val="BodyText"/>
        <w:tabs>
          <w:tab w:val="clear" w:pos="1980"/>
          <w:tab w:val="clear" w:pos="2520"/>
          <w:tab w:val="left" w:pos="1710"/>
          <w:tab w:val="left" w:pos="2880"/>
        </w:tabs>
        <w:ind w:left="780"/>
        <w:rPr>
          <w:i w:val="0"/>
          <w:iCs w:val="0"/>
          <w:sz w:val="21"/>
          <w:szCs w:val="21"/>
        </w:rPr>
      </w:pPr>
      <w:r w:rsidRPr="65033BF9">
        <w:rPr>
          <w:i w:val="0"/>
          <w:iCs w:val="0"/>
          <w:sz w:val="21"/>
          <w:szCs w:val="21"/>
        </w:rPr>
        <w:t>board is actively taking accepting and vetting recommendations to fill the vacant seats.</w:t>
      </w: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lastRenderedPageBreak/>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54C558DF" w:rsidR="00D04539" w:rsidRDefault="649D72B6" w:rsidP="65033BF9">
      <w:pPr>
        <w:pStyle w:val="BodyText"/>
        <w:tabs>
          <w:tab w:val="clear" w:pos="1980"/>
          <w:tab w:val="clear" w:pos="2520"/>
          <w:tab w:val="left" w:pos="1710"/>
          <w:tab w:val="left" w:pos="2880"/>
        </w:tabs>
        <w:rPr>
          <w:i w:val="0"/>
          <w:iCs w:val="0"/>
          <w:sz w:val="21"/>
          <w:szCs w:val="21"/>
        </w:rPr>
      </w:pPr>
      <w:r w:rsidRPr="65033BF9">
        <w:rPr>
          <w:i w:val="0"/>
          <w:iCs w:val="0"/>
          <w:sz w:val="21"/>
          <w:szCs w:val="21"/>
        </w:rPr>
        <w:t>Please indicate how volunteers or paid or unpaid interns were used during the reporting period.  Provide the total number of volunteers or interns and hours provi</w:t>
      </w:r>
      <w:r w:rsidR="76ED5905" w:rsidRPr="65033BF9">
        <w:rPr>
          <w:i w:val="0"/>
          <w:iCs w:val="0"/>
          <w:sz w:val="21"/>
          <w:szCs w:val="21"/>
        </w:rPr>
        <w:t>ded.</w:t>
      </w:r>
      <w:r w:rsidRPr="65033BF9">
        <w:rPr>
          <w:i w:val="0"/>
          <w:iCs w:val="0"/>
          <w:sz w:val="21"/>
          <w:szCs w:val="21"/>
        </w:rPr>
        <w:t xml:space="preserve"> If interns were used, please indicate their program level (</w:t>
      </w:r>
      <w:proofErr w:type="gramStart"/>
      <w:r w:rsidRPr="65033BF9">
        <w:rPr>
          <w:i w:val="0"/>
          <w:iCs w:val="0"/>
          <w:sz w:val="21"/>
          <w:szCs w:val="21"/>
        </w:rPr>
        <w:t>e.g.</w:t>
      </w:r>
      <w:proofErr w:type="gramEnd"/>
      <w:r w:rsidRPr="65033BF9">
        <w:rPr>
          <w:i w:val="0"/>
          <w:iCs w:val="0"/>
          <w:sz w:val="21"/>
          <w:szCs w:val="21"/>
        </w:rPr>
        <w:t xml:space="preserve"> undergraduate, masters)</w:t>
      </w:r>
      <w:r w:rsidR="24E5E951" w:rsidRPr="65033BF9">
        <w:rPr>
          <w:i w:val="0"/>
          <w:iCs w:val="0"/>
          <w:sz w:val="21"/>
          <w:szCs w:val="21"/>
        </w:rPr>
        <w:t>:</w:t>
      </w:r>
    </w:p>
    <w:p w14:paraId="7646FE1D" w14:textId="77777777" w:rsidR="00E26D0F" w:rsidRDefault="00E26D0F" w:rsidP="65033B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p>
    <w:p w14:paraId="3D7E6AB0" w14:textId="359AC676" w:rsidR="00E26D0F" w:rsidRDefault="56F1D1F3" w:rsidP="65033B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65033BF9">
        <w:rPr>
          <w:rFonts w:ascii="Arial" w:hAnsi="Arial"/>
          <w:sz w:val="21"/>
          <w:szCs w:val="21"/>
        </w:rPr>
        <w:t>As of June 2023, all case management positions on the SM Retention team have been filled.  This includes 4 case managers, as well as 1 senior case manager. The mental health therapist position remains vacant.</w:t>
      </w:r>
      <w:r w:rsidR="046C8C23" w:rsidRPr="65033BF9">
        <w:rPr>
          <w:rFonts w:ascii="Arial" w:hAnsi="Arial"/>
          <w:sz w:val="21"/>
          <w:szCs w:val="21"/>
        </w:rPr>
        <w:t xml:space="preserve">  </w:t>
      </w:r>
      <w:r w:rsidR="20A97954" w:rsidRPr="65033BF9">
        <w:rPr>
          <w:rFonts w:ascii="Arial" w:hAnsi="Arial"/>
          <w:sz w:val="21"/>
          <w:szCs w:val="21"/>
        </w:rPr>
        <w:t xml:space="preserve">The SM Retention team has worked closely with the internal clinical team at St. Joseph Center to develop a pilot clinical supervision program that will remove existing barriers to </w:t>
      </w:r>
      <w:proofErr w:type="spellStart"/>
      <w:r w:rsidR="20A97954" w:rsidRPr="65033BF9">
        <w:rPr>
          <w:rFonts w:ascii="Arial" w:hAnsi="Arial"/>
          <w:sz w:val="21"/>
          <w:szCs w:val="21"/>
        </w:rPr>
        <w:t>clinicans</w:t>
      </w:r>
      <w:proofErr w:type="spellEnd"/>
      <w:r w:rsidR="20A97954" w:rsidRPr="65033BF9">
        <w:rPr>
          <w:rFonts w:ascii="Arial" w:hAnsi="Arial"/>
          <w:sz w:val="21"/>
          <w:szCs w:val="21"/>
        </w:rPr>
        <w:t xml:space="preserve"> accruing clinical hours</w:t>
      </w:r>
      <w:r w:rsidR="68EF5CA8" w:rsidRPr="65033BF9">
        <w:rPr>
          <w:rFonts w:ascii="Arial" w:hAnsi="Arial"/>
          <w:sz w:val="21"/>
          <w:szCs w:val="21"/>
        </w:rPr>
        <w:t>, which has been the biggest challenge to filling the role.</w:t>
      </w:r>
    </w:p>
    <w:p w14:paraId="5AC0E008" w14:textId="17409407" w:rsidR="00E26D0F" w:rsidRDefault="00E26D0F" w:rsidP="65033B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2D430BAD" w14:textId="40784BA4" w:rsidR="00E26D0F" w:rsidRDefault="68EF5CA8" w:rsidP="65033B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65033BF9">
        <w:rPr>
          <w:rFonts w:ascii="Arial" w:hAnsi="Arial"/>
          <w:sz w:val="21"/>
          <w:szCs w:val="21"/>
        </w:rPr>
        <w:t xml:space="preserve">When at full capacity, the </w:t>
      </w:r>
      <w:r w:rsidR="7E49067D" w:rsidRPr="65033BF9">
        <w:rPr>
          <w:rFonts w:ascii="Arial" w:hAnsi="Arial"/>
          <w:sz w:val="21"/>
          <w:szCs w:val="21"/>
        </w:rPr>
        <w:t xml:space="preserve">caseload of the case managers </w:t>
      </w:r>
      <w:r w:rsidR="64020F7A" w:rsidRPr="65033BF9">
        <w:rPr>
          <w:rFonts w:ascii="Arial" w:hAnsi="Arial"/>
          <w:sz w:val="21"/>
          <w:szCs w:val="21"/>
        </w:rPr>
        <w:t xml:space="preserve">is </w:t>
      </w:r>
      <w:r w:rsidR="212DAB76" w:rsidRPr="65033BF9">
        <w:rPr>
          <w:rFonts w:ascii="Arial" w:hAnsi="Arial"/>
          <w:sz w:val="21"/>
          <w:szCs w:val="21"/>
        </w:rPr>
        <w:t>approximately 30-35 clients</w:t>
      </w:r>
      <w:r w:rsidR="35A96DE0" w:rsidRPr="65033BF9">
        <w:rPr>
          <w:rFonts w:ascii="Arial" w:hAnsi="Arial"/>
          <w:sz w:val="21"/>
          <w:szCs w:val="21"/>
        </w:rPr>
        <w:t>, and the program manager provides additional support when needed. Based on the case managers’ experience and capabilities</w:t>
      </w:r>
      <w:r w:rsidR="598329EC" w:rsidRPr="65033BF9">
        <w:rPr>
          <w:rFonts w:ascii="Arial" w:hAnsi="Arial"/>
          <w:sz w:val="21"/>
          <w:szCs w:val="21"/>
        </w:rPr>
        <w:t xml:space="preserve">, each caseload is </w:t>
      </w:r>
      <w:proofErr w:type="gramStart"/>
      <w:r w:rsidR="598329EC" w:rsidRPr="65033BF9">
        <w:rPr>
          <w:rFonts w:ascii="Arial" w:hAnsi="Arial"/>
          <w:sz w:val="21"/>
          <w:szCs w:val="21"/>
        </w:rPr>
        <w:t>assed</w:t>
      </w:r>
      <w:proofErr w:type="gramEnd"/>
      <w:r w:rsidR="598329EC" w:rsidRPr="65033BF9">
        <w:rPr>
          <w:rFonts w:ascii="Arial" w:hAnsi="Arial"/>
          <w:sz w:val="21"/>
          <w:szCs w:val="21"/>
        </w:rPr>
        <w:t xml:space="preserve"> and distributed adequately to ensure </w:t>
      </w:r>
      <w:r w:rsidR="5FE9C050" w:rsidRPr="65033BF9">
        <w:rPr>
          <w:rFonts w:ascii="Arial" w:hAnsi="Arial"/>
          <w:sz w:val="21"/>
          <w:szCs w:val="21"/>
        </w:rPr>
        <w:t xml:space="preserve">continuity of care for each client. Effective caseload management allows case </w:t>
      </w:r>
      <w:r w:rsidR="1E8EA582" w:rsidRPr="65033BF9">
        <w:rPr>
          <w:rFonts w:ascii="Arial" w:hAnsi="Arial"/>
          <w:sz w:val="21"/>
          <w:szCs w:val="21"/>
        </w:rPr>
        <w:t>managers</w:t>
      </w:r>
      <w:r w:rsidR="5FE9C050" w:rsidRPr="65033BF9">
        <w:rPr>
          <w:rFonts w:ascii="Arial" w:hAnsi="Arial"/>
          <w:sz w:val="21"/>
          <w:szCs w:val="21"/>
        </w:rPr>
        <w:t xml:space="preserve"> to be more efficient at their job.</w:t>
      </w:r>
    </w:p>
    <w:p w14:paraId="2168FF56" w14:textId="624B3AE0" w:rsidR="00E26D0F" w:rsidRDefault="00E26D0F" w:rsidP="65033B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4DFFFC70" w14:textId="5E1C079B" w:rsidR="00E26D0F" w:rsidRDefault="1971D23E" w:rsidP="65033B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65033BF9">
        <w:rPr>
          <w:rFonts w:ascii="Arial" w:hAnsi="Arial"/>
          <w:sz w:val="21"/>
          <w:szCs w:val="21"/>
        </w:rPr>
        <w:t xml:space="preserve">The program manager is collaborating with the St. Joseph Center Human Resources Recruitment Manager and is utilizing online job boards to </w:t>
      </w:r>
      <w:r w:rsidR="71981D74" w:rsidRPr="65033BF9">
        <w:rPr>
          <w:rFonts w:ascii="Arial" w:hAnsi="Arial"/>
          <w:sz w:val="21"/>
          <w:szCs w:val="21"/>
        </w:rPr>
        <w:t>fill open positions. This recruiting plan not only target optimal candidates, but it also provides an opportunity for employees to get</w:t>
      </w:r>
      <w:r w:rsidR="1571D981" w:rsidRPr="65033BF9">
        <w:rPr>
          <w:rFonts w:ascii="Arial" w:hAnsi="Arial"/>
          <w:sz w:val="21"/>
          <w:szCs w:val="21"/>
        </w:rPr>
        <w:t xml:space="preserve"> hired within St. Joseph Center, who is committed to the staffs’ professional develo</w:t>
      </w:r>
      <w:r w:rsidR="0FFE3DE9" w:rsidRPr="65033BF9">
        <w:rPr>
          <w:rFonts w:ascii="Arial" w:hAnsi="Arial"/>
          <w:sz w:val="21"/>
          <w:szCs w:val="21"/>
        </w:rPr>
        <w:t>pment.</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10A61D3D" w14:textId="77777777" w:rsidR="00731400" w:rsidRDefault="00731400"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3896FA" w14:textId="77777777" w:rsidR="00731400" w:rsidRDefault="00731400" w:rsidP="0073140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22482ABE">
        <w:rPr>
          <w:rFonts w:ascii="Arial" w:hAnsi="Arial"/>
          <w:b/>
          <w:bCs/>
          <w:sz w:val="21"/>
          <w:szCs w:val="21"/>
          <w:u w:val="single"/>
        </w:rPr>
        <w:t>Standard Funding Conditions:</w:t>
      </w:r>
    </w:p>
    <w:p w14:paraId="0BB3FDC8" w14:textId="77777777" w:rsidR="00731400" w:rsidRDefault="00731400"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C03D90D" w14:textId="77777777" w:rsidR="00795892" w:rsidRDefault="00795892"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474DA2F" w14:textId="77777777" w:rsidR="00795892" w:rsidRPr="0059025E" w:rsidRDefault="00795892" w:rsidP="00795892">
      <w:pPr>
        <w:pStyle w:val="ListParagraph"/>
        <w:numPr>
          <w:ilvl w:val="0"/>
          <w:numId w:val="21"/>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Participate in the City’s efforts to develop an outcomes measurement system to better track human services program demographics and outcomes. Participation may include, but is not limited </w:t>
      </w:r>
      <w:proofErr w:type="gramStart"/>
      <w:r w:rsidRPr="0059025E">
        <w:rPr>
          <w:rFonts w:ascii="Arial" w:eastAsia="Arial" w:hAnsi="Arial" w:cs="Arial"/>
          <w:color w:val="000000" w:themeColor="text1"/>
          <w:sz w:val="21"/>
          <w:szCs w:val="21"/>
        </w:rPr>
        <w:t>to:</w:t>
      </w:r>
      <w:proofErr w:type="gramEnd"/>
      <w:r w:rsidRPr="0059025E">
        <w:rPr>
          <w:rFonts w:ascii="Arial" w:eastAsia="Arial" w:hAnsi="Arial" w:cs="Arial"/>
          <w:color w:val="000000" w:themeColor="text1"/>
          <w:sz w:val="21"/>
          <w:szCs w:val="21"/>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41E326E0" w14:textId="77777777" w:rsidR="00795892" w:rsidRPr="0059025E" w:rsidRDefault="00795892" w:rsidP="00795892">
      <w:pPr>
        <w:pStyle w:val="ListParagraph"/>
        <w:numPr>
          <w:ilvl w:val="1"/>
          <w:numId w:val="21"/>
        </w:numPr>
        <w:jc w:val="both"/>
        <w:rPr>
          <w:rFonts w:ascii="Arial" w:hAnsi="Arial" w:cs="Arial"/>
        </w:rPr>
      </w:pPr>
      <w:r w:rsidRPr="6146869C">
        <w:rPr>
          <w:rFonts w:ascii="Arial" w:eastAsia="Arial" w:hAnsi="Arial" w:cs="Arial"/>
          <w:color w:val="000000" w:themeColor="text1"/>
          <w:sz w:val="21"/>
          <w:szCs w:val="21"/>
        </w:rPr>
        <w:t>SJC continues to comply with the City’s efforts to develop a centralized human services management system in order to better track program demographics and outcomes. SJC’s data and outcomes team has worked with our administrative assistant and program team to clean up data in the client services database, specifically as it relates to how historically separate program contracts have been merged together in recent years. SJC will continue to work collaboratively with City staff and consultants by attending meetings, trainings, informational sessions as well as provide feedback and actively participate in activities that support the implementation of policies or strategies that further support these efforts. SJC will continue to remain in compliance with incorporating existing forms and adhering to the City’s data management agency agreement, etc.</w:t>
      </w:r>
    </w:p>
    <w:p w14:paraId="42572522"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24386750" w14:textId="77777777" w:rsidR="00795892" w:rsidRPr="0059025E" w:rsidRDefault="00795892" w:rsidP="00795892">
      <w:pPr>
        <w:pStyle w:val="ListParagraph"/>
        <w:numPr>
          <w:ilvl w:val="0"/>
          <w:numId w:val="21"/>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Detail steps taken to safely reopen facilities and provide services in response to needs emerging from the COVID-19 pandemic, including modifications to service delivery and program facilities to ensure compliance with current public health guidance. </w:t>
      </w:r>
    </w:p>
    <w:p w14:paraId="22E0395D" w14:textId="77777777" w:rsidR="00795892" w:rsidRPr="0059025E" w:rsidRDefault="00795892" w:rsidP="00795892">
      <w:pPr>
        <w:pStyle w:val="ListParagraph"/>
        <w:numPr>
          <w:ilvl w:val="1"/>
          <w:numId w:val="21"/>
        </w:numPr>
        <w:jc w:val="both"/>
        <w:rPr>
          <w:rFonts w:ascii="Arial" w:eastAsia="Arial" w:hAnsi="Arial" w:cs="Arial"/>
          <w:i/>
          <w:iCs/>
          <w:color w:val="000000" w:themeColor="text1"/>
          <w:sz w:val="21"/>
          <w:szCs w:val="21"/>
        </w:rPr>
      </w:pPr>
      <w:r w:rsidRPr="0059025E">
        <w:rPr>
          <w:rFonts w:ascii="Arial" w:eastAsia="Arial" w:hAnsi="Arial" w:cs="Arial"/>
          <w:color w:val="000000" w:themeColor="text1"/>
          <w:sz w:val="21"/>
          <w:szCs w:val="21"/>
        </w:rPr>
        <w:t xml:space="preserve">St. Joseph Center established a </w:t>
      </w:r>
      <w:proofErr w:type="spellStart"/>
      <w:r w:rsidRPr="0059025E">
        <w:rPr>
          <w:rFonts w:ascii="Arial" w:eastAsia="Arial" w:hAnsi="Arial" w:cs="Arial"/>
          <w:color w:val="000000" w:themeColor="text1"/>
          <w:sz w:val="21"/>
          <w:szCs w:val="21"/>
        </w:rPr>
        <w:t>TaskForce</w:t>
      </w:r>
      <w:proofErr w:type="spellEnd"/>
      <w:r w:rsidRPr="0059025E">
        <w:rPr>
          <w:rFonts w:ascii="Arial" w:eastAsia="Arial" w:hAnsi="Arial" w:cs="Arial"/>
          <w:color w:val="000000" w:themeColor="text1"/>
          <w:sz w:val="21"/>
          <w:szCs w:val="21"/>
        </w:rPr>
        <w:t xml:space="preserve"> to discuss return to the office. We are meeting weekly to discuss safety protocols to allow for a hybrid schedule that will follow the guidelines for compliance with current public health guidance. </w:t>
      </w:r>
    </w:p>
    <w:p w14:paraId="0F055B56" w14:textId="77777777" w:rsidR="00795892" w:rsidRPr="0059025E" w:rsidRDefault="00795892" w:rsidP="00795892">
      <w:pPr>
        <w:pStyle w:val="BodyText"/>
        <w:numPr>
          <w:ilvl w:val="1"/>
          <w:numId w:val="21"/>
        </w:numPr>
        <w:tabs>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 w:val="left" w:pos="540"/>
        </w:tabs>
        <w:ind w:right="534"/>
        <w:rPr>
          <w:rFonts w:eastAsia="Arial" w:cs="Arial"/>
          <w:color w:val="000000" w:themeColor="text1"/>
          <w:sz w:val="21"/>
          <w:szCs w:val="21"/>
        </w:rPr>
      </w:pPr>
      <w:r w:rsidRPr="0059025E">
        <w:rPr>
          <w:rFonts w:eastAsia="Arial" w:cs="Arial"/>
          <w:i w:val="0"/>
          <w:iCs w:val="0"/>
          <w:color w:val="000000" w:themeColor="text1"/>
          <w:sz w:val="21"/>
          <w:szCs w:val="21"/>
        </w:rPr>
        <w:lastRenderedPageBreak/>
        <w:t xml:space="preserve">Case management is provided via the phone and virtual meeting platforms. Staff are able to work remotely in order to reduce transmission. Staff will also meet clients in a public space if needed. </w:t>
      </w:r>
    </w:p>
    <w:p w14:paraId="5B8DAEB5" w14:textId="77777777" w:rsidR="00795892" w:rsidRPr="0059025E" w:rsidRDefault="00795892" w:rsidP="00795892">
      <w:pPr>
        <w:pStyle w:val="ListParagraph"/>
        <w:numPr>
          <w:ilvl w:val="1"/>
          <w:numId w:val="21"/>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When case management is needed in person to address crises, staff have been provided with PPE, and are following DPH safety guidelines </w:t>
      </w:r>
    </w:p>
    <w:p w14:paraId="657445FF" w14:textId="77777777" w:rsidR="00795892" w:rsidRPr="0059025E" w:rsidRDefault="00795892" w:rsidP="00795892">
      <w:pPr>
        <w:pStyle w:val="ListParagraph"/>
        <w:numPr>
          <w:ilvl w:val="1"/>
          <w:numId w:val="21"/>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Basic needs such as food are being provided to clients through vendor delivery, e-gift cards and using a no contact method of food pantry drop off. </w:t>
      </w:r>
    </w:p>
    <w:p w14:paraId="38AE2539" w14:textId="77777777" w:rsidR="00795892" w:rsidRPr="0059025E" w:rsidRDefault="00795892" w:rsidP="00795892">
      <w:pPr>
        <w:pStyle w:val="ListParagraph"/>
        <w:numPr>
          <w:ilvl w:val="1"/>
          <w:numId w:val="21"/>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Mental health needs are being met with tele-health or in person by assessed need via DMH outside agencies. At intake as well as at their annual recertification, a mental health assessment is completed and clients are referred to appropriate services. In addition, staff regularly discuss mental health needs with their clients.</w:t>
      </w:r>
    </w:p>
    <w:p w14:paraId="0BD6D088" w14:textId="77777777" w:rsidR="00795892" w:rsidRPr="0059025E" w:rsidRDefault="00795892" w:rsidP="00795892">
      <w:pPr>
        <w:pStyle w:val="ListParagraph"/>
        <w:numPr>
          <w:ilvl w:val="1"/>
          <w:numId w:val="21"/>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Transportation is offered to all clients via Lyft and Uber to clients who typically would take public transportation but are not able to do so due to medical and public health concerns to meet basic needs and get to critical appointments.</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SM Retention also offers Big Blue Bus passes and MTA passes for clients who prefer to utilize public transportation</w:t>
      </w:r>
    </w:p>
    <w:p w14:paraId="4B0A9632"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7030DD1E" w14:textId="77777777" w:rsidR="00795892" w:rsidRPr="0059025E" w:rsidRDefault="00795892" w:rsidP="00795892">
      <w:pPr>
        <w:pStyle w:val="ListParagraph"/>
        <w:numPr>
          <w:ilvl w:val="0"/>
          <w:numId w:val="21"/>
        </w:numPr>
        <w:jc w:val="both"/>
        <w:rPr>
          <w:rFonts w:ascii="Arial" w:eastAsia="Arial" w:hAnsi="Arial" w:cs="Arial"/>
          <w:color w:val="000000" w:themeColor="text1"/>
          <w:sz w:val="21"/>
          <w:szCs w:val="21"/>
        </w:rPr>
      </w:pPr>
      <w:r w:rsidRPr="01BE0686">
        <w:rPr>
          <w:rFonts w:ascii="Arial" w:eastAsia="Arial" w:hAnsi="Arial" w:cs="Arial"/>
          <w:color w:val="000000" w:themeColor="text1"/>
          <w:sz w:val="21"/>
          <w:szCs w:val="21"/>
        </w:rPr>
        <w:t xml:space="preserve">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 </w:t>
      </w:r>
    </w:p>
    <w:p w14:paraId="1D9FC9C0" w14:textId="77777777" w:rsidR="00795892" w:rsidRDefault="00795892" w:rsidP="00795892">
      <w:pPr>
        <w:pStyle w:val="paragraph"/>
        <w:numPr>
          <w:ilvl w:val="0"/>
          <w:numId w:val="22"/>
        </w:numPr>
        <w:spacing w:before="0" w:beforeAutospacing="0" w:after="0" w:afterAutospacing="0"/>
        <w:ind w:left="1815" w:firstLine="0"/>
        <w:jc w:val="both"/>
        <w:textAlignment w:val="baseline"/>
        <w:rPr>
          <w:rFonts w:ascii="Arial" w:hAnsi="Arial" w:cs="Arial"/>
          <w:i/>
          <w:iCs/>
          <w:sz w:val="21"/>
          <w:szCs w:val="21"/>
        </w:rPr>
      </w:pPr>
      <w:r w:rsidRPr="01BE0686">
        <w:rPr>
          <w:rFonts w:ascii="Arial" w:eastAsia="Arial" w:hAnsi="Arial" w:cs="Arial"/>
          <w:color w:val="000000" w:themeColor="text1"/>
        </w:rPr>
        <w:t xml:space="preserve"> </w:t>
      </w:r>
      <w:r w:rsidRPr="01BE0686">
        <w:rPr>
          <w:rStyle w:val="normaltextrun"/>
          <w:rFonts w:ascii="Arial" w:hAnsi="Arial" w:cs="Arial"/>
          <w:sz w:val="21"/>
          <w:szCs w:val="21"/>
        </w:rPr>
        <w:t xml:space="preserve">SJC remains in compliance with assisting eligible participants in submitting applications and renewing certifications for stable housing purposes. SJC staff members continue to assist Section 8, HOME, CoC, and other Housing Voucher holders with re-certifications and collecting any needed essential documents requested to ensure clients are up to date and in compliance with the Housing Authority and tenant-based sites.  In addition, staff continue to educate, </w:t>
      </w:r>
      <w:proofErr w:type="gramStart"/>
      <w:r w:rsidRPr="01BE0686">
        <w:rPr>
          <w:rStyle w:val="normaltextrun"/>
          <w:rFonts w:ascii="Arial" w:hAnsi="Arial" w:cs="Arial"/>
          <w:sz w:val="21"/>
          <w:szCs w:val="21"/>
        </w:rPr>
        <w:t>inform</w:t>
      </w:r>
      <w:proofErr w:type="gramEnd"/>
      <w:r w:rsidRPr="01BE0686">
        <w:rPr>
          <w:rStyle w:val="normaltextrun"/>
          <w:rFonts w:ascii="Arial" w:hAnsi="Arial" w:cs="Arial"/>
          <w:sz w:val="21"/>
          <w:szCs w:val="21"/>
        </w:rPr>
        <w:t xml:space="preserve"> and direct clients to resources that can support housing sustainability, including support with rental arrears, waitlists for permanent supportive housing through the Housing Authority, and other low-income housing opportunities and/or waitlists in the community. </w:t>
      </w:r>
      <w:r w:rsidRPr="01BE0686">
        <w:rPr>
          <w:rStyle w:val="eop"/>
          <w:rFonts w:ascii="Arial" w:hAnsi="Arial" w:cs="Arial"/>
          <w:i/>
          <w:iCs/>
          <w:sz w:val="21"/>
          <w:szCs w:val="21"/>
        </w:rPr>
        <w:t> </w:t>
      </w:r>
    </w:p>
    <w:p w14:paraId="160B9C5A" w14:textId="77777777" w:rsidR="00795892" w:rsidRDefault="00795892" w:rsidP="00795892">
      <w:pPr>
        <w:pStyle w:val="paragraph"/>
        <w:spacing w:before="0" w:beforeAutospacing="0" w:after="0" w:afterAutospacing="0"/>
        <w:ind w:left="720"/>
        <w:textAlignment w:val="baseline"/>
        <w:rPr>
          <w:rFonts w:ascii="Arial" w:hAnsi="Arial" w:cs="Arial"/>
          <w:sz w:val="21"/>
          <w:szCs w:val="21"/>
        </w:rPr>
      </w:pPr>
      <w:r w:rsidRPr="01BE0686">
        <w:rPr>
          <w:rStyle w:val="eop"/>
          <w:rFonts w:ascii="Arial" w:hAnsi="Arial" w:cs="Arial"/>
          <w:sz w:val="21"/>
          <w:szCs w:val="21"/>
        </w:rPr>
        <w:t> </w:t>
      </w:r>
    </w:p>
    <w:p w14:paraId="5679D4C1" w14:textId="77777777" w:rsidR="00795892" w:rsidRDefault="00795892" w:rsidP="00795892">
      <w:pPr>
        <w:jc w:val="both"/>
        <w:rPr>
          <w:rFonts w:ascii="Arial" w:eastAsia="Arial" w:hAnsi="Arial" w:cs="Arial"/>
          <w:b/>
          <w:bCs/>
          <w:color w:val="000000" w:themeColor="text1"/>
          <w:sz w:val="21"/>
          <w:szCs w:val="21"/>
          <w:u w:val="single"/>
        </w:rPr>
      </w:pPr>
    </w:p>
    <w:p w14:paraId="1AE3C276" w14:textId="77777777" w:rsidR="00795892" w:rsidRPr="0059025E" w:rsidRDefault="00795892" w:rsidP="00795892">
      <w:pPr>
        <w:jc w:val="both"/>
        <w:rPr>
          <w:rFonts w:ascii="Arial" w:eastAsia="Arial" w:hAnsi="Arial" w:cs="Arial"/>
          <w:b/>
          <w:bCs/>
          <w:color w:val="000000" w:themeColor="text1"/>
          <w:sz w:val="21"/>
          <w:szCs w:val="21"/>
          <w:u w:val="single"/>
        </w:rPr>
      </w:pPr>
      <w:r w:rsidRPr="0059025E">
        <w:rPr>
          <w:rFonts w:ascii="Arial" w:eastAsia="Arial" w:hAnsi="Arial" w:cs="Arial"/>
          <w:b/>
          <w:bCs/>
          <w:color w:val="000000" w:themeColor="text1"/>
          <w:sz w:val="21"/>
          <w:szCs w:val="21"/>
          <w:u w:val="single"/>
        </w:rPr>
        <w:t xml:space="preserve">Family Self-Sufficiency (FSS): </w:t>
      </w:r>
    </w:p>
    <w:p w14:paraId="2EA7F43F" w14:textId="77777777" w:rsidR="00795892" w:rsidRPr="0059025E" w:rsidRDefault="00795892" w:rsidP="00795892">
      <w:pPr>
        <w:jc w:val="both"/>
        <w:rPr>
          <w:rFonts w:ascii="Arial" w:hAnsi="Arial" w:cs="Arial"/>
        </w:rPr>
      </w:pPr>
      <w:r w:rsidRPr="0059025E">
        <w:rPr>
          <w:rFonts w:ascii="Arial" w:eastAsia="Arial" w:hAnsi="Arial" w:cs="Arial"/>
          <w:b/>
          <w:bCs/>
          <w:color w:val="000000" w:themeColor="text1"/>
          <w:sz w:val="24"/>
        </w:rPr>
        <w:t xml:space="preserve"> </w:t>
      </w:r>
    </w:p>
    <w:p w14:paraId="7C51E462" w14:textId="77777777" w:rsidR="00795892" w:rsidRPr="00F70054" w:rsidRDefault="00795892" w:rsidP="00795892">
      <w:pPr>
        <w:jc w:val="both"/>
        <w:rPr>
          <w:rFonts w:ascii="Arial" w:eastAsia="Arial" w:hAnsi="Arial" w:cs="Arial"/>
          <w:color w:val="FF0000"/>
          <w:sz w:val="21"/>
          <w:szCs w:val="21"/>
        </w:rPr>
      </w:pPr>
      <w:r w:rsidRPr="00F70054">
        <w:rPr>
          <w:rFonts w:ascii="Arial" w:eastAsia="Arial" w:hAnsi="Arial" w:cs="Arial"/>
          <w:sz w:val="21"/>
          <w:szCs w:val="21"/>
        </w:rPr>
        <w:t>The Santa Monica Housing Authority (SMHA) is phasing out the FSS program. At this time, SMHA will no longer accept new applicants or provide extensions for existing participants except where denial of the extension will result in loss of escrow or when required by the U.S. Department of Housing and Urban Development. SMHA still expects to receive updated ITSP reports as well as graduation or termination requests for existing participants.</w:t>
      </w:r>
      <w:r w:rsidRPr="00F70054">
        <w:rPr>
          <w:rFonts w:ascii="Arial" w:eastAsia="Arial" w:hAnsi="Arial" w:cs="Arial"/>
          <w:color w:val="FF0000"/>
          <w:sz w:val="21"/>
          <w:szCs w:val="21"/>
        </w:rPr>
        <w:t xml:space="preserve"> </w:t>
      </w:r>
    </w:p>
    <w:p w14:paraId="6CB37916" w14:textId="77777777" w:rsidR="00795892" w:rsidRPr="0059025E" w:rsidRDefault="00795892" w:rsidP="00795892">
      <w:pPr>
        <w:jc w:val="both"/>
        <w:rPr>
          <w:rFonts w:ascii="Arial" w:eastAsia="Arial" w:hAnsi="Arial" w:cs="Arial"/>
          <w:b/>
          <w:color w:val="000000" w:themeColor="text1"/>
          <w:sz w:val="24"/>
          <w:highlight w:val="yellow"/>
        </w:rPr>
      </w:pPr>
    </w:p>
    <w:p w14:paraId="3C393A00" w14:textId="77777777" w:rsidR="00795892" w:rsidRPr="0059025E" w:rsidRDefault="00795892" w:rsidP="00795892">
      <w:pPr>
        <w:pStyle w:val="ListParagraph"/>
        <w:numPr>
          <w:ilvl w:val="0"/>
          <w:numId w:val="20"/>
        </w:numPr>
        <w:jc w:val="both"/>
        <w:rPr>
          <w:rFonts w:ascii="Arial" w:eastAsia="Arial" w:hAnsi="Arial" w:cs="Arial"/>
          <w:sz w:val="21"/>
          <w:szCs w:val="21"/>
        </w:rPr>
      </w:pPr>
      <w:r w:rsidRPr="0059025E">
        <w:rPr>
          <w:rFonts w:ascii="Arial" w:eastAsia="Arial" w:hAnsi="Arial" w:cs="Arial"/>
          <w:sz w:val="21"/>
          <w:szCs w:val="21"/>
        </w:rPr>
        <w:t>Agency will submit the Family Self-Sufficiency (FSS) Worksheets and Individual Training Service Plans (ITSP) to the FSS Coordinator annually 30 days prior to each FSS participant's annual re-certification date with the Santa Monica Housing Authority.</w:t>
      </w:r>
    </w:p>
    <w:p w14:paraId="7A72F953" w14:textId="77777777" w:rsidR="00795892" w:rsidRPr="0059025E" w:rsidRDefault="00795892" w:rsidP="00795892">
      <w:pPr>
        <w:pStyle w:val="ListParagraph"/>
        <w:numPr>
          <w:ilvl w:val="1"/>
          <w:numId w:val="20"/>
        </w:numPr>
        <w:jc w:val="both"/>
        <w:rPr>
          <w:rFonts w:ascii="Arial" w:eastAsia="Arial" w:hAnsi="Arial" w:cs="Arial"/>
          <w:sz w:val="21"/>
          <w:szCs w:val="21"/>
        </w:rPr>
      </w:pPr>
      <w:r w:rsidRPr="0059025E">
        <w:rPr>
          <w:rFonts w:ascii="Arial" w:eastAsia="Arial" w:hAnsi="Arial" w:cs="Arial"/>
          <w:sz w:val="21"/>
          <w:szCs w:val="21"/>
        </w:rPr>
        <w:t>See below</w:t>
      </w:r>
    </w:p>
    <w:p w14:paraId="27D3D180"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0418E828" w14:textId="77777777" w:rsidR="00795892" w:rsidRPr="0059025E" w:rsidRDefault="00795892" w:rsidP="00795892">
      <w:pPr>
        <w:pStyle w:val="ListParagraph"/>
        <w:numPr>
          <w:ilvl w:val="0"/>
          <w:numId w:val="20"/>
        </w:numPr>
        <w:jc w:val="both"/>
        <w:rPr>
          <w:rFonts w:ascii="Arial" w:eastAsia="Arial" w:hAnsi="Arial" w:cs="Arial"/>
          <w:sz w:val="21"/>
          <w:szCs w:val="21"/>
        </w:rPr>
      </w:pPr>
      <w:r w:rsidRPr="0059025E">
        <w:rPr>
          <w:rFonts w:ascii="Arial" w:eastAsia="Arial" w:hAnsi="Arial" w:cs="Arial"/>
          <w:sz w:val="21"/>
          <w:szCs w:val="21"/>
        </w:rPr>
        <w:t>Agency will participate in file reviews of FSS participant files with Housing Authority and Human Services Division staff at least twice annually or more often as needed.</w:t>
      </w:r>
    </w:p>
    <w:p w14:paraId="4A8EF30A" w14:textId="77777777" w:rsidR="00795892" w:rsidRPr="0059025E" w:rsidRDefault="00795892" w:rsidP="00795892">
      <w:pPr>
        <w:pStyle w:val="ListParagraph"/>
        <w:numPr>
          <w:ilvl w:val="1"/>
          <w:numId w:val="20"/>
        </w:numPr>
        <w:jc w:val="both"/>
        <w:rPr>
          <w:rFonts w:ascii="Arial" w:eastAsia="Arial" w:hAnsi="Arial" w:cs="Arial"/>
          <w:sz w:val="21"/>
          <w:szCs w:val="21"/>
        </w:rPr>
      </w:pPr>
      <w:r w:rsidRPr="0059025E">
        <w:rPr>
          <w:rFonts w:ascii="Arial" w:eastAsia="Arial" w:hAnsi="Arial" w:cs="Arial"/>
          <w:sz w:val="21"/>
          <w:szCs w:val="21"/>
        </w:rPr>
        <w:t>See below</w:t>
      </w:r>
    </w:p>
    <w:p w14:paraId="690E9C6C"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7093DA9C" w14:textId="77777777" w:rsidR="00795892" w:rsidRPr="0059025E" w:rsidRDefault="00795892" w:rsidP="00795892">
      <w:pPr>
        <w:pStyle w:val="ListParagraph"/>
        <w:numPr>
          <w:ilvl w:val="0"/>
          <w:numId w:val="20"/>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Agency will submit the FSS Graduation, Early Graduation, Withdrawal, or Termination Request and required FSS Exit documents to the SMHA FSS Coordinator 30 days prior to expiration of FSS participant’s Contract of Participation (COP).</w:t>
      </w:r>
    </w:p>
    <w:p w14:paraId="73368AC7" w14:textId="77777777" w:rsidR="00795892" w:rsidRPr="0077327B" w:rsidRDefault="00795892" w:rsidP="00795892">
      <w:pPr>
        <w:pStyle w:val="ListParagraph"/>
        <w:numPr>
          <w:ilvl w:val="1"/>
          <w:numId w:val="20"/>
        </w:numPr>
        <w:rPr>
          <w:rFonts w:ascii="Arial" w:hAnsi="Arial" w:cs="Arial"/>
          <w:sz w:val="21"/>
          <w:szCs w:val="21"/>
        </w:rPr>
      </w:pPr>
      <w:bookmarkStart w:id="0" w:name="_Hlk123825191"/>
      <w:r w:rsidRPr="00566A09">
        <w:rPr>
          <w:rFonts w:ascii="Arial" w:hAnsi="Arial" w:cs="Arial"/>
          <w:sz w:val="21"/>
          <w:szCs w:val="21"/>
        </w:rPr>
        <w:t xml:space="preserve">St. Joseph Center </w:t>
      </w:r>
      <w:r>
        <w:rPr>
          <w:rFonts w:ascii="Arial" w:hAnsi="Arial" w:cs="Arial"/>
          <w:sz w:val="21"/>
          <w:szCs w:val="21"/>
        </w:rPr>
        <w:t>is actively working with City of Santa Monica staff on corrective action to ensure that all</w:t>
      </w:r>
      <w:r w:rsidRPr="00566A09">
        <w:rPr>
          <w:rFonts w:ascii="Arial" w:hAnsi="Arial" w:cs="Arial"/>
          <w:sz w:val="21"/>
          <w:szCs w:val="21"/>
        </w:rPr>
        <w:t xml:space="preserve"> FSS program requirements </w:t>
      </w:r>
      <w:r>
        <w:rPr>
          <w:rFonts w:ascii="Arial" w:hAnsi="Arial" w:cs="Arial"/>
          <w:sz w:val="21"/>
          <w:szCs w:val="21"/>
        </w:rPr>
        <w:t xml:space="preserve">are met. Not all of these conditions have been met within the specified timeframes due to St. Joseph Center and City staff shifting time to COVID-19 response efforts, as well as staff turnover. </w:t>
      </w:r>
      <w:r w:rsidRPr="00566A09">
        <w:rPr>
          <w:rFonts w:ascii="Arial" w:eastAsia="Arial" w:hAnsi="Arial" w:cs="Arial"/>
          <w:sz w:val="21"/>
          <w:szCs w:val="21"/>
        </w:rPr>
        <w:t xml:space="preserve">   </w:t>
      </w:r>
    </w:p>
    <w:bookmarkEnd w:id="0"/>
    <w:p w14:paraId="0E76FB18" w14:textId="77777777" w:rsidR="00795892" w:rsidRPr="0059025E" w:rsidRDefault="00795892" w:rsidP="00597374">
      <w:pPr>
        <w:pStyle w:val="ListParagraph"/>
        <w:ind w:left="1440"/>
        <w:jc w:val="both"/>
        <w:rPr>
          <w:rFonts w:ascii="Arial" w:eastAsia="Arial" w:hAnsi="Arial" w:cs="Arial"/>
          <w:color w:val="000000" w:themeColor="text1"/>
          <w:sz w:val="21"/>
          <w:szCs w:val="21"/>
        </w:rPr>
      </w:pPr>
    </w:p>
    <w:p w14:paraId="058B7282"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lastRenderedPageBreak/>
        <w:t xml:space="preserve"> </w:t>
      </w:r>
    </w:p>
    <w:p w14:paraId="51B48DD6" w14:textId="77777777" w:rsidR="00795892" w:rsidRPr="0059025E" w:rsidRDefault="00795892" w:rsidP="00795892">
      <w:pPr>
        <w:jc w:val="both"/>
        <w:rPr>
          <w:rFonts w:ascii="Arial" w:hAnsi="Arial" w:cs="Arial"/>
        </w:rPr>
      </w:pPr>
      <w:r w:rsidRPr="0059025E">
        <w:rPr>
          <w:rFonts w:ascii="Arial" w:eastAsia="Arial" w:hAnsi="Arial" w:cs="Arial"/>
          <w:b/>
          <w:bCs/>
          <w:sz w:val="24"/>
          <w:u w:val="single"/>
        </w:rPr>
        <w:t xml:space="preserve">Homeless Programs: </w:t>
      </w:r>
    </w:p>
    <w:p w14:paraId="16B235D1" w14:textId="77777777" w:rsidR="00795892" w:rsidRPr="0059025E" w:rsidRDefault="00795892" w:rsidP="00795892">
      <w:pPr>
        <w:ind w:firstLine="360"/>
        <w:jc w:val="both"/>
        <w:rPr>
          <w:rFonts w:ascii="Arial" w:hAnsi="Arial" w:cs="Arial"/>
        </w:rPr>
      </w:pPr>
      <w:r w:rsidRPr="0059025E">
        <w:rPr>
          <w:rFonts w:ascii="Arial" w:eastAsia="Arial" w:hAnsi="Arial" w:cs="Arial"/>
          <w:b/>
          <w:bCs/>
          <w:sz w:val="24"/>
        </w:rPr>
        <w:t xml:space="preserve"> </w:t>
      </w:r>
    </w:p>
    <w:p w14:paraId="4DC75C0E" w14:textId="77777777" w:rsidR="00795892" w:rsidRPr="0059025E" w:rsidRDefault="00795892" w:rsidP="00795892">
      <w:pPr>
        <w:pStyle w:val="ListParagraph"/>
        <w:numPr>
          <w:ilvl w:val="0"/>
          <w:numId w:val="19"/>
        </w:numPr>
        <w:jc w:val="both"/>
        <w:rPr>
          <w:rFonts w:ascii="Arial" w:eastAsia="Arial" w:hAnsi="Arial" w:cs="Arial"/>
          <w:sz w:val="21"/>
          <w:szCs w:val="21"/>
        </w:rPr>
      </w:pPr>
      <w:r w:rsidRPr="0059025E">
        <w:rPr>
          <w:rFonts w:ascii="Arial" w:eastAsia="Arial" w:hAnsi="Arial" w:cs="Arial"/>
          <w:sz w:val="21"/>
          <w:szCs w:val="21"/>
        </w:rPr>
        <w:t>Align resources, including services and existing bed capacity, with the goal of permanently housing priority populations consistent with the City’s Santa Monica Program Participant criteria (SMPP);</w:t>
      </w:r>
    </w:p>
    <w:p w14:paraId="742369B6"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0D9B6926" w14:textId="77777777" w:rsidR="00795892" w:rsidRPr="0059025E" w:rsidRDefault="00795892" w:rsidP="00795892">
      <w:pPr>
        <w:pStyle w:val="ListParagraph"/>
        <w:numPr>
          <w:ilvl w:val="0"/>
          <w:numId w:val="19"/>
        </w:numPr>
        <w:jc w:val="both"/>
        <w:rPr>
          <w:rFonts w:ascii="Arial" w:eastAsia="Arial" w:hAnsi="Arial" w:cs="Arial"/>
          <w:sz w:val="21"/>
          <w:szCs w:val="21"/>
        </w:rPr>
      </w:pPr>
      <w:r w:rsidRPr="0059025E">
        <w:rPr>
          <w:rFonts w:ascii="Arial" w:eastAsia="Arial" w:hAnsi="Arial" w:cs="Arial"/>
          <w:sz w:val="21"/>
          <w:szCs w:val="21"/>
        </w:rPr>
        <w:t>Ensure clients have access to services outside of Santa Monica. Link clients with services and resources in their community of origin or other appropriate regional services through program referrals or transportation assistance, such as Project Homecoming;</w:t>
      </w:r>
    </w:p>
    <w:p w14:paraId="1E1D9E5D"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71511B2B" w14:textId="77777777" w:rsidR="00795892" w:rsidRPr="0059025E" w:rsidRDefault="00795892" w:rsidP="00795892">
      <w:pPr>
        <w:pStyle w:val="ListParagraph"/>
        <w:numPr>
          <w:ilvl w:val="0"/>
          <w:numId w:val="19"/>
        </w:numPr>
        <w:jc w:val="both"/>
        <w:rPr>
          <w:rFonts w:ascii="Arial" w:eastAsia="Arial" w:hAnsi="Arial" w:cs="Arial"/>
          <w:sz w:val="21"/>
          <w:szCs w:val="21"/>
        </w:rPr>
      </w:pPr>
      <w:r w:rsidRPr="0059025E">
        <w:rPr>
          <w:rFonts w:ascii="Arial" w:eastAsia="Arial" w:hAnsi="Arial" w:cs="Arial"/>
          <w:sz w:val="21"/>
          <w:szCs w:val="21"/>
        </w:rPr>
        <w:t>Provide adequate supportive services based on individual need to Santa Monica Program Participants placed in permanent housing to promote housing retention, regardless of the type of subsidy or housing utilized;</w:t>
      </w:r>
    </w:p>
    <w:p w14:paraId="4F8C221A"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4E05256C" w14:textId="77777777" w:rsidR="00795892" w:rsidRPr="0059025E" w:rsidRDefault="00795892" w:rsidP="00795892">
      <w:pPr>
        <w:pStyle w:val="ListParagraph"/>
        <w:numPr>
          <w:ilvl w:val="0"/>
          <w:numId w:val="19"/>
        </w:numPr>
        <w:jc w:val="both"/>
        <w:rPr>
          <w:rFonts w:ascii="Arial" w:eastAsia="Arial" w:hAnsi="Arial" w:cs="Arial"/>
          <w:sz w:val="21"/>
          <w:szCs w:val="21"/>
        </w:rPr>
      </w:pPr>
      <w:r w:rsidRPr="0059025E">
        <w:rPr>
          <w:rFonts w:ascii="Arial" w:eastAsia="Arial" w:hAnsi="Arial" w:cs="Arial"/>
          <w:sz w:val="21"/>
          <w:szCs w:val="21"/>
        </w:rPr>
        <w:t>Participate in the City’s HMIS by signing and adhering to the HMIS Agency Agreement; use the HMIS to comply with reporting requirements for participants in the City’s homeless initiatives; participate in other efforts to collect data and evaluate services.</w:t>
      </w:r>
    </w:p>
    <w:p w14:paraId="3679823E"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6E864E7A" w14:textId="77777777" w:rsidR="00795892" w:rsidRPr="0059025E" w:rsidRDefault="00795892" w:rsidP="00795892">
      <w:pPr>
        <w:pStyle w:val="ListParagraph"/>
        <w:numPr>
          <w:ilvl w:val="0"/>
          <w:numId w:val="19"/>
        </w:numPr>
        <w:jc w:val="both"/>
        <w:rPr>
          <w:rFonts w:ascii="Arial" w:eastAsia="Arial" w:hAnsi="Arial" w:cs="Arial"/>
          <w:strike/>
          <w:sz w:val="21"/>
          <w:szCs w:val="21"/>
        </w:rPr>
      </w:pPr>
      <w:r w:rsidRPr="0059025E">
        <w:rPr>
          <w:rFonts w:ascii="Arial" w:eastAsia="Arial" w:hAnsi="Arial" w:cs="Arial"/>
          <w:sz w:val="21"/>
          <w:szCs w:val="21"/>
        </w:rPr>
        <w:t>Document service match in the City’s Homeless Management Information System (HMIS) for all clients utilizing SMHA Continuum of Care vouchers</w:t>
      </w:r>
      <w:r w:rsidRPr="0059025E">
        <w:rPr>
          <w:rFonts w:ascii="Arial" w:eastAsia="Arial" w:hAnsi="Arial" w:cs="Arial"/>
          <w:strike/>
          <w:sz w:val="21"/>
          <w:szCs w:val="21"/>
        </w:rPr>
        <w:t>;</w:t>
      </w:r>
    </w:p>
    <w:p w14:paraId="317D82E0"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37129C39" w14:textId="77777777" w:rsidR="00795892" w:rsidRPr="0059025E" w:rsidRDefault="00795892" w:rsidP="00795892">
      <w:pPr>
        <w:pStyle w:val="ListParagraph"/>
        <w:numPr>
          <w:ilvl w:val="0"/>
          <w:numId w:val="19"/>
        </w:numPr>
        <w:jc w:val="both"/>
        <w:rPr>
          <w:rFonts w:ascii="Arial" w:eastAsia="Arial" w:hAnsi="Arial" w:cs="Arial"/>
          <w:sz w:val="21"/>
          <w:szCs w:val="21"/>
        </w:rPr>
      </w:pPr>
      <w:r w:rsidRPr="0059025E">
        <w:rPr>
          <w:rFonts w:ascii="Arial" w:eastAsia="Arial" w:hAnsi="Arial" w:cs="Arial"/>
          <w:sz w:val="21"/>
          <w:szCs w:val="21"/>
        </w:rPr>
        <w:t>All SMPP individuals who receive case management services should be assessed through the VI-SPDAT and be co-enrolled in the Coordinated Entry System (CES);</w:t>
      </w:r>
    </w:p>
    <w:p w14:paraId="6000102B"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7D793D2D" w14:textId="77777777" w:rsidR="00795892" w:rsidRPr="0059025E" w:rsidRDefault="00795892" w:rsidP="00795892">
      <w:pPr>
        <w:pStyle w:val="ListParagraph"/>
        <w:numPr>
          <w:ilvl w:val="0"/>
          <w:numId w:val="19"/>
        </w:numPr>
        <w:jc w:val="both"/>
        <w:rPr>
          <w:rFonts w:ascii="Arial" w:eastAsia="Arial" w:hAnsi="Arial" w:cs="Arial"/>
          <w:sz w:val="21"/>
          <w:szCs w:val="21"/>
        </w:rPr>
      </w:pPr>
      <w:r w:rsidRPr="0059025E">
        <w:rPr>
          <w:rFonts w:ascii="Arial" w:eastAsia="Arial" w:hAnsi="Arial" w:cs="Arial"/>
          <w:sz w:val="21"/>
          <w:szCs w:val="21"/>
        </w:rPr>
        <w:t>Program staff will submit Santa Monica Service Registry applications to Human Services staff for SMPP clients who score high acuity (8 or higher) on the VI-SPDAT;</w:t>
      </w:r>
    </w:p>
    <w:p w14:paraId="2F2CD558"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66015D52" w14:textId="77777777" w:rsidR="00795892" w:rsidRPr="0059025E" w:rsidRDefault="00795892" w:rsidP="00795892">
      <w:pPr>
        <w:pStyle w:val="ListParagraph"/>
        <w:numPr>
          <w:ilvl w:val="0"/>
          <w:numId w:val="19"/>
        </w:numPr>
        <w:jc w:val="both"/>
        <w:rPr>
          <w:rFonts w:ascii="Arial" w:eastAsia="Arial" w:hAnsi="Arial" w:cs="Arial"/>
          <w:sz w:val="21"/>
          <w:szCs w:val="21"/>
        </w:rPr>
      </w:pPr>
      <w:r w:rsidRPr="0059025E">
        <w:rPr>
          <w:rFonts w:ascii="Arial" w:eastAsia="Arial" w:hAnsi="Arial" w:cs="Arial"/>
          <w:sz w:val="21"/>
          <w:szCs w:val="21"/>
        </w:rPr>
        <w:t>Notify Human Services staff when SMPP program participants are at risk of eviction; and</w:t>
      </w:r>
    </w:p>
    <w:p w14:paraId="5D65F026"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2ABAC815" w14:textId="77777777" w:rsidR="00795892" w:rsidRPr="0059025E" w:rsidRDefault="00795892" w:rsidP="00795892">
      <w:pPr>
        <w:pStyle w:val="ListParagraph"/>
        <w:numPr>
          <w:ilvl w:val="0"/>
          <w:numId w:val="19"/>
        </w:numPr>
        <w:jc w:val="both"/>
        <w:rPr>
          <w:rFonts w:ascii="Arial" w:eastAsia="Arial" w:hAnsi="Arial" w:cs="Arial"/>
          <w:sz w:val="21"/>
          <w:szCs w:val="21"/>
        </w:rPr>
      </w:pPr>
      <w:r w:rsidRPr="0059025E">
        <w:rPr>
          <w:rFonts w:ascii="Arial" w:eastAsia="Arial" w:hAnsi="Arial" w:cs="Arial"/>
          <w:sz w:val="21"/>
          <w:szCs w:val="21"/>
        </w:rPr>
        <w:t>Adhere to the attached Intake Policy for documenting homelessness.</w:t>
      </w:r>
    </w:p>
    <w:p w14:paraId="5A9AA525" w14:textId="77777777" w:rsidR="00795892" w:rsidRPr="0059025E" w:rsidRDefault="00795892" w:rsidP="00795892">
      <w:pPr>
        <w:jc w:val="both"/>
        <w:rPr>
          <w:rFonts w:ascii="Arial" w:eastAsia="Arial" w:hAnsi="Arial" w:cs="Arial"/>
          <w:sz w:val="21"/>
          <w:szCs w:val="21"/>
        </w:rPr>
      </w:pPr>
    </w:p>
    <w:p w14:paraId="79BE5C46" w14:textId="77777777" w:rsidR="00795892" w:rsidRPr="0059025E" w:rsidRDefault="00795892" w:rsidP="00795892">
      <w:pPr>
        <w:pStyle w:val="BodyText"/>
        <w:tabs>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 w:val="left" w:pos="480"/>
        </w:tabs>
        <w:rPr>
          <w:rFonts w:eastAsia="Arial" w:cs="Arial"/>
          <w:color w:val="000000" w:themeColor="text1"/>
          <w:sz w:val="21"/>
          <w:szCs w:val="21"/>
        </w:rPr>
      </w:pPr>
      <w:r w:rsidRPr="0059025E">
        <w:rPr>
          <w:rFonts w:eastAsia="Arial" w:cs="Arial"/>
          <w:i w:val="0"/>
          <w:iCs w:val="0"/>
          <w:color w:val="000000" w:themeColor="text1"/>
          <w:sz w:val="21"/>
          <w:szCs w:val="21"/>
        </w:rPr>
        <w:t xml:space="preserve">St. Joseph Center remains in compliance with all Homeless Program funding requirements. St. Joseph Center continues to align resources with the goal of permanently housing priority populations consistent with City’s program requirements by doing the following: </w:t>
      </w:r>
    </w:p>
    <w:p w14:paraId="16E6CF7C" w14:textId="77777777" w:rsidR="00795892" w:rsidRPr="0059025E" w:rsidRDefault="00795892" w:rsidP="00795892">
      <w:pPr>
        <w:pStyle w:val="ListParagraph"/>
        <w:numPr>
          <w:ilvl w:val="0"/>
          <w:numId w:val="12"/>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Ensure clients have access to and are successfully linked to regional resources and services such as transportation assistance, food pantry, medical and health, wellness services, and other CoC programs that meet the clients’ specific needs.</w:t>
      </w:r>
      <w:r>
        <w:rPr>
          <w:rFonts w:ascii="Arial" w:eastAsia="Arial" w:hAnsi="Arial" w:cs="Arial"/>
          <w:color w:val="000000" w:themeColor="text1"/>
          <w:sz w:val="21"/>
          <w:szCs w:val="21"/>
        </w:rPr>
        <w:t xml:space="preserve"> </w:t>
      </w:r>
    </w:p>
    <w:p w14:paraId="2FB28ACF" w14:textId="77777777" w:rsidR="00795892" w:rsidRPr="0059025E" w:rsidRDefault="00795892" w:rsidP="00795892">
      <w:pPr>
        <w:pStyle w:val="ListParagraph"/>
        <w:numPr>
          <w:ilvl w:val="0"/>
          <w:numId w:val="12"/>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Provide ongoing, individualized supportive services based on individual need to participants placed in permanent housing to promote housing stabilization and retention, regardless of the type of housing or subsidy utilized.</w:t>
      </w:r>
      <w:r>
        <w:rPr>
          <w:rFonts w:ascii="Arial" w:eastAsia="Arial" w:hAnsi="Arial" w:cs="Arial"/>
          <w:color w:val="000000" w:themeColor="text1"/>
          <w:sz w:val="21"/>
          <w:szCs w:val="21"/>
        </w:rPr>
        <w:t xml:space="preserve"> </w:t>
      </w:r>
    </w:p>
    <w:p w14:paraId="6F83FAF7" w14:textId="77777777" w:rsidR="00795892" w:rsidRPr="0059025E" w:rsidRDefault="00795892" w:rsidP="00795892">
      <w:pPr>
        <w:pStyle w:val="ListParagraph"/>
        <w:numPr>
          <w:ilvl w:val="0"/>
          <w:numId w:val="12"/>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Use the City’s HMIS to comply with reporting requirements for participants in the City’s homeless initiatives. The agency will collect client level data and evaluate services needs on an on-going basis. </w:t>
      </w:r>
    </w:p>
    <w:p w14:paraId="353FD8C8" w14:textId="77777777" w:rsidR="00795892" w:rsidRPr="0059025E" w:rsidRDefault="00795892" w:rsidP="00795892">
      <w:pPr>
        <w:pStyle w:val="ListParagraph"/>
        <w:numPr>
          <w:ilvl w:val="0"/>
          <w:numId w:val="12"/>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Document service match in the City’s Homeless Management Information System (HMIS) for all clients utilizing SMHA Continuum of Care vouchers.</w:t>
      </w:r>
      <w:r>
        <w:rPr>
          <w:rFonts w:ascii="Arial" w:eastAsia="Arial" w:hAnsi="Arial" w:cs="Arial"/>
          <w:color w:val="000000" w:themeColor="text1"/>
          <w:sz w:val="21"/>
          <w:szCs w:val="21"/>
        </w:rPr>
        <w:t xml:space="preserve"> </w:t>
      </w:r>
    </w:p>
    <w:p w14:paraId="6D6C3EA7" w14:textId="77777777" w:rsidR="00795892" w:rsidRPr="0059025E" w:rsidRDefault="00795892" w:rsidP="00795892">
      <w:pPr>
        <w:pStyle w:val="ListParagraph"/>
        <w:numPr>
          <w:ilvl w:val="0"/>
          <w:numId w:val="12"/>
        </w:numPr>
        <w:rPr>
          <w:rFonts w:ascii="Arial" w:eastAsia="Arial" w:hAnsi="Arial" w:cs="Arial"/>
          <w:color w:val="000000" w:themeColor="text1"/>
          <w:sz w:val="21"/>
          <w:szCs w:val="21"/>
        </w:rPr>
      </w:pPr>
      <w:r w:rsidRPr="0059025E">
        <w:rPr>
          <w:rFonts w:ascii="Arial" w:eastAsia="Arial" w:hAnsi="Arial" w:cs="Arial"/>
          <w:color w:val="000000" w:themeColor="text1"/>
          <w:sz w:val="21"/>
          <w:szCs w:val="21"/>
        </w:rPr>
        <w:t>Notify Human Services Division staff when SMPP program participants are at risk of eviction.</w:t>
      </w:r>
      <w:r>
        <w:rPr>
          <w:rFonts w:ascii="Arial" w:eastAsia="Arial" w:hAnsi="Arial" w:cs="Arial"/>
          <w:color w:val="000000" w:themeColor="text1"/>
          <w:sz w:val="21"/>
          <w:szCs w:val="21"/>
        </w:rPr>
        <w:t xml:space="preserve"> </w:t>
      </w:r>
    </w:p>
    <w:p w14:paraId="6CAC903D" w14:textId="77777777" w:rsidR="00795892" w:rsidRPr="0059025E" w:rsidRDefault="00795892" w:rsidP="00795892">
      <w:pPr>
        <w:pStyle w:val="ListParagraph"/>
        <w:numPr>
          <w:ilvl w:val="0"/>
          <w:numId w:val="12"/>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Adhere to the City’s Intake Policy for documenting homelessness.</w:t>
      </w:r>
    </w:p>
    <w:p w14:paraId="332672DD"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r w:rsidRPr="0059025E">
        <w:rPr>
          <w:rFonts w:ascii="Arial" w:eastAsia="Arial" w:hAnsi="Arial" w:cs="Arial"/>
          <w:b/>
          <w:bCs/>
          <w:sz w:val="24"/>
        </w:rPr>
        <w:t xml:space="preserve"> </w:t>
      </w:r>
    </w:p>
    <w:p w14:paraId="6511681E" w14:textId="77777777" w:rsidR="00795892" w:rsidRPr="0059025E" w:rsidRDefault="00795892" w:rsidP="00795892">
      <w:pPr>
        <w:spacing w:line="259" w:lineRule="auto"/>
        <w:jc w:val="both"/>
        <w:rPr>
          <w:rFonts w:ascii="Arial" w:eastAsia="Arial" w:hAnsi="Arial" w:cs="Arial"/>
          <w:b/>
          <w:bCs/>
          <w:sz w:val="21"/>
          <w:szCs w:val="21"/>
          <w:u w:val="single"/>
        </w:rPr>
      </w:pPr>
      <w:r w:rsidRPr="0059025E">
        <w:rPr>
          <w:rFonts w:ascii="Arial" w:eastAsia="Arial" w:hAnsi="Arial" w:cs="Arial"/>
          <w:b/>
          <w:bCs/>
          <w:sz w:val="21"/>
          <w:szCs w:val="21"/>
          <w:u w:val="single"/>
        </w:rPr>
        <w:t>CDBG Funding:</w:t>
      </w:r>
    </w:p>
    <w:p w14:paraId="67D42CF3" w14:textId="77777777" w:rsidR="00795892" w:rsidRPr="0059025E" w:rsidRDefault="00795892" w:rsidP="00795892">
      <w:pPr>
        <w:pStyle w:val="ListParagraph"/>
        <w:numPr>
          <w:ilvl w:val="0"/>
          <w:numId w:val="18"/>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u w:val="single"/>
        </w:rPr>
        <w:t>Eligible Activities:</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 xml:space="preserve">Contractor shall comply with eligibility requirements for Community Development Block Grant (CDBG) funded projects as detailed in </w:t>
      </w:r>
      <w:hyperlink r:id="rId14">
        <w:r w:rsidRPr="0059025E">
          <w:rPr>
            <w:rStyle w:val="Hyperlink"/>
            <w:rFonts w:ascii="Arial" w:eastAsia="Arial" w:hAnsi="Arial" w:cs="Arial"/>
            <w:sz w:val="21"/>
            <w:szCs w:val="21"/>
          </w:rPr>
          <w:t>24 CFR Part 570</w:t>
        </w:r>
      </w:hyperlink>
      <w:r w:rsidRPr="0059025E">
        <w:rPr>
          <w:rFonts w:ascii="Arial" w:eastAsia="Arial" w:hAnsi="Arial" w:cs="Arial"/>
          <w:color w:val="000000" w:themeColor="text1"/>
          <w:sz w:val="21"/>
          <w:szCs w:val="21"/>
        </w:rPr>
        <w:t xml:space="preserve"> Subpart C of the Housing and Urban Development (HUD) Regulations. This project is deemed eligible for CDBG funding as an activity which benefits a limited clientele who are generally presumed to be principally low- and moderate-income persons or serves participants that provide family size and income evidence (24 CFR 570.208a2(A)(B)). Contractor must collect income verification documentation at the time of intake </w:t>
      </w:r>
      <w:r w:rsidRPr="0059025E">
        <w:rPr>
          <w:rFonts w:ascii="Arial" w:eastAsia="Arial" w:hAnsi="Arial" w:cs="Arial"/>
          <w:color w:val="000000" w:themeColor="text1"/>
          <w:sz w:val="21"/>
          <w:szCs w:val="21"/>
        </w:rPr>
        <w:lastRenderedPageBreak/>
        <w:t>and at least annually while the participant is receiving CDBG-funded services. Contractor shall work with City staff to comply with fiscal year-end reporting as required by HUD in the preparation of the Consolidated Annual Performance and Evaluation Report (CAPER).</w:t>
      </w:r>
      <w:r>
        <w:rPr>
          <w:rFonts w:ascii="Arial" w:eastAsia="Arial" w:hAnsi="Arial" w:cs="Arial"/>
          <w:color w:val="000000" w:themeColor="text1"/>
          <w:sz w:val="21"/>
          <w:szCs w:val="21"/>
        </w:rPr>
        <w:t xml:space="preserve"> </w:t>
      </w:r>
    </w:p>
    <w:p w14:paraId="51CD4F40" w14:textId="77777777" w:rsidR="00795892" w:rsidRPr="0059025E" w:rsidRDefault="00795892" w:rsidP="00795892">
      <w:pPr>
        <w:pStyle w:val="ListParagraph"/>
        <w:numPr>
          <w:ilvl w:val="1"/>
          <w:numId w:val="18"/>
        </w:numPr>
        <w:jc w:val="both"/>
        <w:rPr>
          <w:rFonts w:ascii="Arial" w:hAnsi="Arial" w:cs="Arial"/>
        </w:rPr>
      </w:pPr>
      <w:r w:rsidRPr="0059025E">
        <w:rPr>
          <w:rFonts w:ascii="Arial" w:eastAsia="Arial" w:hAnsi="Arial" w:cs="Arial"/>
          <w:color w:val="000000" w:themeColor="text1"/>
          <w:sz w:val="21"/>
          <w:szCs w:val="21"/>
        </w:rPr>
        <w:t>SJC complies with all eligibility requirements for CDBG funded projects as detailed in 24 CFR Part 570 Subpart C of the HUD regulations by ensuring income verification documentation is collected for all participants at intake and at least annually while the participant is receiving CDBG funded services. Documentation will be retained in client files and entered into an HMIS database system for record keeping, data management, and future monitoring. SJC will work with City staff in providing information as requested to comply with fiscal year-end reporting as required by HUD in the preparation and submission of the CAPER.</w:t>
      </w:r>
    </w:p>
    <w:p w14:paraId="4C663672"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08439859" w14:textId="77777777" w:rsidR="00795892" w:rsidRPr="0059025E" w:rsidRDefault="00795892" w:rsidP="00795892">
      <w:pPr>
        <w:pStyle w:val="ListParagraph"/>
        <w:numPr>
          <w:ilvl w:val="0"/>
          <w:numId w:val="18"/>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u w:val="single"/>
        </w:rPr>
        <w:t>Program Income:</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Any program income generated by Contractor through the award of CDBG funds shall be returned to the City.</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“Program income” is herein defined as:</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 xml:space="preserve">a) proceeds from the disposition by sale or long-term lease of real property purchased or improved with CDBG funds; b) proceeds from the disposition of equipment purchased with CDBG funds; c) gross income from the use or rental of real or personal property acquired by the Contractor with CDBG funds, less costs incidental to generation of the income; d) gross income from the use or rental of real property, owned by Contractor, that was constructed or improved with CDBG funds, less costs incidental to generation of the income; e) payments of principal and interest on loans made using CDBG funds; f) proceeds from the sale of loans made with CDBG funds; g) proceeds from the sale of obligations secured by loans made with CDBG funds; h) interest earned on funds held in a revolving fund account; and </w:t>
      </w:r>
      <w:proofErr w:type="spellStart"/>
      <w:r w:rsidRPr="0059025E">
        <w:rPr>
          <w:rFonts w:ascii="Arial" w:eastAsia="Arial" w:hAnsi="Arial" w:cs="Arial"/>
          <w:color w:val="000000" w:themeColor="text1"/>
          <w:sz w:val="21"/>
          <w:szCs w:val="21"/>
        </w:rPr>
        <w:t>i</w:t>
      </w:r>
      <w:proofErr w:type="spellEnd"/>
      <w:r w:rsidRPr="0059025E">
        <w:rPr>
          <w:rFonts w:ascii="Arial" w:eastAsia="Arial" w:hAnsi="Arial" w:cs="Arial"/>
          <w:color w:val="000000" w:themeColor="text1"/>
          <w:sz w:val="21"/>
          <w:szCs w:val="21"/>
        </w:rPr>
        <w:t>) interest earned on program income pending its disposition.</w:t>
      </w:r>
    </w:p>
    <w:p w14:paraId="24383526" w14:textId="77777777" w:rsidR="00795892" w:rsidRPr="00F70054" w:rsidRDefault="00795892" w:rsidP="00795892">
      <w:pPr>
        <w:pStyle w:val="ListParagraph"/>
        <w:numPr>
          <w:ilvl w:val="1"/>
          <w:numId w:val="18"/>
        </w:numPr>
        <w:jc w:val="both"/>
        <w:rPr>
          <w:rFonts w:ascii="Arial" w:hAnsi="Arial" w:cs="Arial"/>
        </w:rPr>
      </w:pPr>
      <w:r w:rsidRPr="0059025E">
        <w:rPr>
          <w:rFonts w:ascii="Arial" w:eastAsia="Arial" w:hAnsi="Arial" w:cs="Arial"/>
          <w:color w:val="000000" w:themeColor="text1"/>
          <w:sz w:val="21"/>
          <w:szCs w:val="21"/>
        </w:rPr>
        <w:t>SJC does not have any program income generated directly from activities associated with the CDBG sponsored award or from the sale of property and/or equipment leased or purchased using CDBG funds. This also includes any payments of principal and interests on loans made using CDBG funds, and interests generated from funds held in a revolving fund account. SJC’s Chief Financial Officer and Director of Finance review the agency’s financial records on a monthly basis to ensure compliance with 2 CFR 200 and will document if any program income is generated during the operation of the contract and return any program income to the City at the end of the fiscal year.</w:t>
      </w:r>
    </w:p>
    <w:p w14:paraId="1B5BA9BB" w14:textId="77777777" w:rsidR="00795892" w:rsidRPr="0059025E" w:rsidRDefault="00795892" w:rsidP="00795892">
      <w:pPr>
        <w:pStyle w:val="ListParagraph"/>
        <w:numPr>
          <w:ilvl w:val="0"/>
          <w:numId w:val="18"/>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u w:val="single"/>
        </w:rPr>
        <w:t>Uniform Administrative Requirements</w:t>
      </w:r>
      <w:r w:rsidRPr="0059025E">
        <w:rPr>
          <w:rFonts w:ascii="Arial" w:eastAsia="Arial" w:hAnsi="Arial" w:cs="Arial"/>
          <w:color w:val="000000" w:themeColor="text1"/>
          <w:sz w:val="21"/>
          <w:szCs w:val="21"/>
        </w:rPr>
        <w:t>: Contractor shall comply with applicable uniform administrative requirements as described in 24 C.F.R. 570.502 of the HUD CDBG regulations.</w:t>
      </w:r>
    </w:p>
    <w:p w14:paraId="268B23E2" w14:textId="77777777" w:rsidR="00795892" w:rsidRPr="0059025E" w:rsidRDefault="00795892" w:rsidP="00795892">
      <w:pPr>
        <w:jc w:val="both"/>
        <w:rPr>
          <w:rFonts w:ascii="Arial" w:eastAsia="Arial" w:hAnsi="Arial" w:cs="Arial"/>
          <w:color w:val="000000" w:themeColor="text1"/>
          <w:sz w:val="21"/>
          <w:szCs w:val="21"/>
        </w:rPr>
      </w:pPr>
    </w:p>
    <w:p w14:paraId="42EC4A60" w14:textId="77777777" w:rsidR="00795892" w:rsidRPr="0059025E" w:rsidRDefault="00795892" w:rsidP="00795892">
      <w:pPr>
        <w:pStyle w:val="ListParagraph"/>
        <w:numPr>
          <w:ilvl w:val="1"/>
          <w:numId w:val="18"/>
        </w:numPr>
        <w:jc w:val="both"/>
        <w:rPr>
          <w:rFonts w:ascii="Arial" w:hAnsi="Arial" w:cs="Arial"/>
        </w:rPr>
      </w:pPr>
      <w:r w:rsidRPr="0059025E">
        <w:rPr>
          <w:rFonts w:ascii="Arial" w:eastAsia="Arial" w:hAnsi="Arial" w:cs="Arial"/>
          <w:color w:val="000000" w:themeColor="text1"/>
          <w:sz w:val="21"/>
          <w:szCs w:val="21"/>
        </w:rPr>
        <w:t>SJC complies with all applicable uniform administrative and program management standards requirements as described in 24 CFR 570.502 by ensuring adequate financial management is maintained (financial reporting, budget management, procurement records, compensation, method of payment), and follow standard record keeping requirements for audits and grant close out.</w:t>
      </w:r>
    </w:p>
    <w:p w14:paraId="7DEE2455" w14:textId="77777777" w:rsidR="00795892" w:rsidRPr="0059025E" w:rsidRDefault="00795892" w:rsidP="00795892">
      <w:pPr>
        <w:ind w:left="720" w:hanging="720"/>
        <w:jc w:val="both"/>
        <w:rPr>
          <w:rFonts w:ascii="Arial" w:hAnsi="Arial" w:cs="Arial"/>
        </w:rPr>
      </w:pPr>
      <w:r w:rsidRPr="0059025E">
        <w:rPr>
          <w:rFonts w:ascii="Arial" w:eastAsia="Arial" w:hAnsi="Arial" w:cs="Arial"/>
          <w:sz w:val="24"/>
        </w:rPr>
        <w:t xml:space="preserve"> </w:t>
      </w:r>
    </w:p>
    <w:p w14:paraId="33F4BA74" w14:textId="77777777" w:rsidR="00795892" w:rsidRPr="0059025E" w:rsidRDefault="00795892" w:rsidP="00795892">
      <w:pPr>
        <w:pStyle w:val="ListParagraph"/>
        <w:numPr>
          <w:ilvl w:val="0"/>
          <w:numId w:val="18"/>
        </w:numPr>
        <w:jc w:val="both"/>
        <w:rPr>
          <w:rFonts w:ascii="Arial" w:eastAsia="Arial" w:hAnsi="Arial" w:cs="Arial"/>
          <w:sz w:val="21"/>
          <w:szCs w:val="21"/>
        </w:rPr>
      </w:pPr>
      <w:r w:rsidRPr="0059025E">
        <w:rPr>
          <w:rFonts w:ascii="Arial" w:eastAsia="Arial" w:hAnsi="Arial" w:cs="Arial"/>
          <w:sz w:val="21"/>
          <w:szCs w:val="21"/>
          <w:u w:val="single"/>
        </w:rPr>
        <w:t>Financial Management:</w:t>
      </w:r>
      <w:r w:rsidRPr="0059025E">
        <w:rPr>
          <w:rFonts w:ascii="Arial" w:eastAsia="Arial" w:hAnsi="Arial" w:cs="Arial"/>
          <w:sz w:val="21"/>
          <w:szCs w:val="21"/>
        </w:rPr>
        <w:t xml:space="preserve"> Contractor shall maintain a fiscal management and accounting system based on Generally Accepted Accounting Principles (GAAP) and shall conduct an agency audit according to these principles on an annual basis.</w:t>
      </w:r>
      <w:r>
        <w:rPr>
          <w:rFonts w:ascii="Arial" w:eastAsia="Arial" w:hAnsi="Arial" w:cs="Arial"/>
          <w:sz w:val="21"/>
          <w:szCs w:val="21"/>
        </w:rPr>
        <w:t xml:space="preserve"> </w:t>
      </w:r>
      <w:r w:rsidRPr="0059025E">
        <w:rPr>
          <w:rFonts w:ascii="Arial" w:eastAsia="Arial" w:hAnsi="Arial" w:cs="Arial"/>
          <w:sz w:val="21"/>
          <w:szCs w:val="21"/>
        </w:rPr>
        <w:t>Contractor further agrees to conform to all requirements as contained in 2 CFR 200 “Uniform Administrative Requirements, Cost principles, and Audit Requirements for Federal Awards”, which incorporates elements of past guidance contained in OMB Circular No. A-122, and OMB Circular No. A-110.</w:t>
      </w:r>
      <w:r>
        <w:rPr>
          <w:rFonts w:ascii="Arial" w:eastAsia="Arial" w:hAnsi="Arial" w:cs="Arial"/>
          <w:sz w:val="21"/>
          <w:szCs w:val="21"/>
        </w:rPr>
        <w:t xml:space="preserve"> </w:t>
      </w:r>
      <w:r w:rsidRPr="0059025E">
        <w:rPr>
          <w:rFonts w:ascii="Arial" w:eastAsia="Arial" w:hAnsi="Arial" w:cs="Arial"/>
          <w:sz w:val="21"/>
          <w:szCs w:val="21"/>
        </w:rPr>
        <w:t>These items shall be in sufficient detail to provide a sound basis for the City to effectively monitor performance under the Agreement.</w:t>
      </w:r>
    </w:p>
    <w:p w14:paraId="4EA1CB6E" w14:textId="77777777" w:rsidR="00795892" w:rsidRPr="0059025E" w:rsidRDefault="00795892" w:rsidP="00795892">
      <w:pPr>
        <w:jc w:val="both"/>
        <w:rPr>
          <w:rFonts w:ascii="Arial" w:eastAsia="Arial" w:hAnsi="Arial" w:cs="Arial"/>
          <w:sz w:val="21"/>
          <w:szCs w:val="21"/>
        </w:rPr>
      </w:pPr>
    </w:p>
    <w:p w14:paraId="30062C41" w14:textId="77777777" w:rsidR="00795892" w:rsidRPr="0059025E" w:rsidRDefault="00795892" w:rsidP="00795892">
      <w:pPr>
        <w:pStyle w:val="ListParagraph"/>
        <w:numPr>
          <w:ilvl w:val="1"/>
          <w:numId w:val="18"/>
        </w:numPr>
        <w:jc w:val="both"/>
        <w:rPr>
          <w:rFonts w:ascii="Arial" w:eastAsia="Arial" w:hAnsi="Arial" w:cs="Arial"/>
        </w:rPr>
      </w:pPr>
      <w:r w:rsidRPr="0059025E">
        <w:rPr>
          <w:rFonts w:ascii="Arial" w:eastAsia="Arial" w:hAnsi="Arial" w:cs="Arial"/>
          <w:color w:val="000000" w:themeColor="text1"/>
          <w:sz w:val="21"/>
          <w:szCs w:val="21"/>
        </w:rPr>
        <w:t xml:space="preserve">SJC maintains a fiscal management and accounting system based on GAAP as detailed in the agency’s Accounting Policies and Procedures manual. SJC further ensures compliance by undergoing a rigorous external audit conducted by a third-party company of the agency’s financial management principles on an annual basis and conforms with all requirements as outlined in 2 CFR 200 along with past guidance contained in OMB Circular No. A-122 and OMB Circular No. A-110. All accounting and fiscal records (chart of accounts, general ledger, cash receipts journal, cash disbursements journal, etc.) are recorded in a fiscal management software (Abila MIP), with external budget controls maintained outside the system to allow for monthly analysis and review with program team members (Director, Program Manager) to </w:t>
      </w:r>
      <w:r w:rsidRPr="0059025E">
        <w:rPr>
          <w:rFonts w:ascii="Arial" w:eastAsia="Arial" w:hAnsi="Arial" w:cs="Arial"/>
          <w:color w:val="000000" w:themeColor="text1"/>
          <w:sz w:val="21"/>
          <w:szCs w:val="21"/>
        </w:rPr>
        <w:lastRenderedPageBreak/>
        <w:t>ensure for accuracy, that all expenses are eligible and align with contractual goals/outcomes and requirements, and there is a program-fiscal review to compare progress toward achievement of annual goals with the rate of expenditure of program funds.</w:t>
      </w:r>
    </w:p>
    <w:p w14:paraId="77DC85AA" w14:textId="77777777" w:rsidR="00795892" w:rsidRPr="0059025E" w:rsidRDefault="00795892" w:rsidP="00795892">
      <w:pPr>
        <w:jc w:val="both"/>
        <w:rPr>
          <w:rFonts w:ascii="Arial" w:eastAsia="Arial" w:hAnsi="Arial" w:cs="Arial"/>
          <w:sz w:val="21"/>
          <w:szCs w:val="21"/>
        </w:rPr>
      </w:pPr>
    </w:p>
    <w:p w14:paraId="6200B29B" w14:textId="77777777" w:rsidR="00795892" w:rsidRPr="0059025E" w:rsidRDefault="00795892" w:rsidP="00795892">
      <w:pPr>
        <w:tabs>
          <w:tab w:val="left" w:pos="720"/>
        </w:tabs>
        <w:rPr>
          <w:rFonts w:ascii="Arial" w:eastAsia="Arial" w:hAnsi="Arial" w:cs="Arial"/>
          <w:color w:val="000000" w:themeColor="text1"/>
          <w:sz w:val="21"/>
          <w:szCs w:val="21"/>
        </w:rPr>
      </w:pPr>
      <w:r w:rsidRPr="0059025E">
        <w:rPr>
          <w:rFonts w:ascii="Arial" w:eastAsia="Arial" w:hAnsi="Arial" w:cs="Arial"/>
          <w:color w:val="1F497D"/>
          <w:sz w:val="22"/>
          <w:szCs w:val="22"/>
        </w:rPr>
        <w:t xml:space="preserve"> </w:t>
      </w:r>
      <w:r w:rsidRPr="0059025E">
        <w:rPr>
          <w:rFonts w:ascii="Arial" w:eastAsia="Arial" w:hAnsi="Arial" w:cs="Arial"/>
          <w:b/>
          <w:bCs/>
          <w:sz w:val="21"/>
          <w:szCs w:val="21"/>
          <w:u w:val="single"/>
        </w:rPr>
        <w:t>Continuum of Care (CoC) Sponsor Agencies:</w:t>
      </w:r>
      <w:r w:rsidRPr="0059025E">
        <w:rPr>
          <w:rFonts w:ascii="Arial" w:hAnsi="Arial" w:cs="Arial"/>
        </w:rPr>
        <w:br/>
      </w:r>
      <w:r w:rsidRPr="0059025E">
        <w:rPr>
          <w:rFonts w:ascii="Arial" w:eastAsia="Arial" w:hAnsi="Arial" w:cs="Arial"/>
          <w:b/>
          <w:bCs/>
          <w:sz w:val="21"/>
          <w:szCs w:val="21"/>
          <w:u w:val="single"/>
        </w:rPr>
        <w:t xml:space="preserve"> </w:t>
      </w:r>
      <w:r w:rsidRPr="0059025E">
        <w:rPr>
          <w:rFonts w:ascii="Arial" w:hAnsi="Arial" w:cs="Arial"/>
        </w:rPr>
        <w:br/>
      </w:r>
      <w:r w:rsidRPr="0059025E">
        <w:rPr>
          <w:rFonts w:ascii="Arial" w:eastAsia="Arial" w:hAnsi="Arial" w:cs="Arial"/>
          <w:color w:val="000000" w:themeColor="text1"/>
          <w:sz w:val="21"/>
          <w:szCs w:val="21"/>
        </w:rPr>
        <w:t xml:space="preserve">Adhere to all Department of Housing and Urban Development </w:t>
      </w:r>
      <w:r w:rsidRPr="0059025E">
        <w:rPr>
          <w:rFonts w:ascii="Arial" w:eastAsia="Arial" w:hAnsi="Arial" w:cs="Arial"/>
          <w:sz w:val="21"/>
          <w:szCs w:val="21"/>
        </w:rPr>
        <w:t>Continuum of Care</w:t>
      </w:r>
      <w:r w:rsidRPr="0059025E">
        <w:rPr>
          <w:rFonts w:ascii="Arial" w:eastAsia="Arial" w:hAnsi="Arial" w:cs="Arial"/>
          <w:b/>
          <w:bCs/>
          <w:sz w:val="21"/>
          <w:szCs w:val="21"/>
        </w:rPr>
        <w:t xml:space="preserve"> </w:t>
      </w:r>
      <w:r w:rsidRPr="0059025E">
        <w:rPr>
          <w:rFonts w:ascii="Arial" w:eastAsia="Arial" w:hAnsi="Arial" w:cs="Arial"/>
          <w:color w:val="000000" w:themeColor="text1"/>
          <w:sz w:val="21"/>
          <w:szCs w:val="21"/>
        </w:rPr>
        <w:t xml:space="preserve">regulations, as specified in 24 CFR, </w:t>
      </w:r>
      <w:proofErr w:type="gramStart"/>
      <w:r w:rsidRPr="0059025E">
        <w:rPr>
          <w:rFonts w:ascii="Arial" w:eastAsia="Arial" w:hAnsi="Arial" w:cs="Arial"/>
          <w:color w:val="000000" w:themeColor="text1"/>
          <w:sz w:val="21"/>
          <w:szCs w:val="21"/>
        </w:rPr>
        <w:t>Part</w:t>
      </w:r>
      <w:proofErr w:type="gramEnd"/>
      <w:r w:rsidRPr="0059025E">
        <w:rPr>
          <w:rFonts w:ascii="Arial" w:eastAsia="Arial" w:hAnsi="Arial" w:cs="Arial"/>
          <w:color w:val="000000" w:themeColor="text1"/>
          <w:sz w:val="21"/>
          <w:szCs w:val="21"/>
        </w:rPr>
        <w:t xml:space="preserve"> 578, Continuum of Care Interim Rule updated on April 1, 2017, HEARTH Act of 2009, and Chapter 19 of the Santa Monica Housing Authority Administrative Plan.</w:t>
      </w:r>
    </w:p>
    <w:p w14:paraId="4FD0DB38"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1A76D74D" w14:textId="77777777" w:rsidR="00795892" w:rsidRPr="0059025E" w:rsidRDefault="00795892" w:rsidP="00795892">
      <w:pPr>
        <w:pStyle w:val="ListParagraph"/>
        <w:numPr>
          <w:ilvl w:val="0"/>
          <w:numId w:val="17"/>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Refer qualifying individuals and families to the Santa Monica Housing Authority for Continuum of Care program.</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In order to qualify, the individuals and families must meet the definition of Dedicated Plus per HUD Notice of Funding Availability for 2017 as described below:</w:t>
      </w:r>
    </w:p>
    <w:p w14:paraId="5C2E6449"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7ACA3103" w14:textId="77777777" w:rsidR="00795892" w:rsidRPr="0059025E" w:rsidRDefault="00795892" w:rsidP="00795892">
      <w:pPr>
        <w:pStyle w:val="ListParagraph"/>
        <w:numPr>
          <w:ilvl w:val="1"/>
          <w:numId w:val="17"/>
        </w:numPr>
        <w:jc w:val="both"/>
        <w:rPr>
          <w:rFonts w:ascii="Arial" w:eastAsia="Arial" w:hAnsi="Arial" w:cs="Arial"/>
          <w:sz w:val="21"/>
          <w:szCs w:val="21"/>
        </w:rPr>
      </w:pPr>
      <w:r w:rsidRPr="0059025E">
        <w:rPr>
          <w:rFonts w:ascii="Arial" w:eastAsia="Arial" w:hAnsi="Arial" w:cs="Arial"/>
          <w:sz w:val="21"/>
          <w:szCs w:val="21"/>
        </w:rPr>
        <w:t>Chronically homeless as defined in 24 CFR 578.3:</w:t>
      </w:r>
    </w:p>
    <w:p w14:paraId="39C740E4" w14:textId="77777777" w:rsidR="00795892" w:rsidRPr="0059025E" w:rsidRDefault="00795892" w:rsidP="00795892">
      <w:pPr>
        <w:pStyle w:val="ListParagraph"/>
        <w:numPr>
          <w:ilvl w:val="2"/>
          <w:numId w:val="17"/>
        </w:numPr>
        <w:jc w:val="both"/>
        <w:rPr>
          <w:rFonts w:ascii="Arial" w:eastAsia="Arial" w:hAnsi="Arial" w:cs="Arial"/>
          <w:sz w:val="21"/>
          <w:szCs w:val="21"/>
        </w:rPr>
      </w:pPr>
      <w:r w:rsidRPr="0059025E">
        <w:rPr>
          <w:rFonts w:ascii="Arial" w:eastAsia="Arial" w:hAnsi="Arial" w:cs="Arial"/>
          <w:sz w:val="21"/>
          <w:szCs w:val="21"/>
        </w:rPr>
        <w:t xml:space="preserve">Is homeless and lives in a place not meant for human habitation, a safe haven, or in an emergency shelter; and </w:t>
      </w:r>
    </w:p>
    <w:p w14:paraId="2C114DF6" w14:textId="77777777" w:rsidR="00795892" w:rsidRPr="0059025E" w:rsidRDefault="00795892" w:rsidP="00795892">
      <w:pPr>
        <w:pStyle w:val="ListParagraph"/>
        <w:numPr>
          <w:ilvl w:val="2"/>
          <w:numId w:val="17"/>
        </w:numPr>
        <w:jc w:val="both"/>
        <w:rPr>
          <w:rFonts w:ascii="Arial" w:eastAsia="Arial" w:hAnsi="Arial" w:cs="Arial"/>
          <w:sz w:val="21"/>
          <w:szCs w:val="21"/>
        </w:rPr>
      </w:pPr>
      <w:r w:rsidRPr="0059025E">
        <w:rPr>
          <w:rFonts w:ascii="Arial" w:eastAsia="Arial" w:hAnsi="Arial" w:cs="Arial"/>
          <w:sz w:val="21"/>
          <w:szCs w:val="21"/>
        </w:rPr>
        <w:t>Has been homeless and living or residing in a place not meant for human habitation, a safe haven, or in an emergency shelter continuously for at least one year or on at least four separate occasions in the last 3 years; and</w:t>
      </w:r>
    </w:p>
    <w:p w14:paraId="2EE895C2" w14:textId="77777777" w:rsidR="00795892" w:rsidRPr="0059025E" w:rsidRDefault="00795892" w:rsidP="00795892">
      <w:pPr>
        <w:pStyle w:val="ListParagraph"/>
        <w:numPr>
          <w:ilvl w:val="2"/>
          <w:numId w:val="17"/>
        </w:numPr>
        <w:jc w:val="both"/>
        <w:rPr>
          <w:rFonts w:ascii="Arial" w:eastAsia="Arial" w:hAnsi="Arial" w:cs="Arial"/>
          <w:sz w:val="21"/>
          <w:szCs w:val="21"/>
        </w:rPr>
      </w:pPr>
      <w:r w:rsidRPr="0059025E">
        <w:rPr>
          <w:rFonts w:ascii="Arial" w:eastAsia="Arial" w:hAnsi="Arial" w:cs="Arial"/>
          <w:sz w:val="21"/>
          <w:szCs w:val="21"/>
        </w:rPr>
        <w:t xml:space="preserve">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 </w:t>
      </w:r>
    </w:p>
    <w:p w14:paraId="2BC60094" w14:textId="77777777" w:rsidR="00795892" w:rsidRPr="0059025E" w:rsidRDefault="00795892" w:rsidP="00795892">
      <w:pPr>
        <w:pStyle w:val="ListParagraph"/>
        <w:numPr>
          <w:ilvl w:val="2"/>
          <w:numId w:val="17"/>
        </w:numPr>
        <w:jc w:val="both"/>
        <w:rPr>
          <w:rFonts w:ascii="Arial" w:eastAsia="Arial" w:hAnsi="Arial" w:cs="Arial"/>
          <w:sz w:val="21"/>
          <w:szCs w:val="21"/>
        </w:rPr>
      </w:pPr>
      <w:r w:rsidRPr="0059025E">
        <w:rPr>
          <w:rFonts w:ascii="Arial" w:eastAsia="Arial" w:hAnsi="Arial" w:cs="Arial"/>
          <w:sz w:val="21"/>
          <w:szCs w:val="21"/>
        </w:rPr>
        <w:t>Has been residing in an institutional care facility, including a jail, substance abuse or mental health treatment facility, hospital, or other similar facility, for fewer than 90 days and met all of the criteria in paragraph 1. of this definition, before entering that facility;</w:t>
      </w:r>
    </w:p>
    <w:p w14:paraId="66110415" w14:textId="77777777" w:rsidR="00795892" w:rsidRPr="0059025E" w:rsidRDefault="00795892" w:rsidP="00795892">
      <w:pPr>
        <w:pStyle w:val="ListParagraph"/>
        <w:numPr>
          <w:ilvl w:val="2"/>
          <w:numId w:val="17"/>
        </w:numPr>
        <w:jc w:val="both"/>
        <w:rPr>
          <w:rFonts w:ascii="Arial" w:eastAsia="Arial" w:hAnsi="Arial" w:cs="Arial"/>
          <w:sz w:val="21"/>
          <w:szCs w:val="21"/>
        </w:rPr>
      </w:pPr>
      <w:r w:rsidRPr="0059025E">
        <w:rPr>
          <w:rFonts w:ascii="Arial" w:eastAsia="Arial" w:hAnsi="Arial" w:cs="Arial"/>
          <w:sz w:val="21"/>
          <w:szCs w:val="21"/>
        </w:rPr>
        <w:t xml:space="preserve">Or a family with an adult head of household (or if there is no adult in the family, a minor head of household) who meets all of the criteria in paragraph 1. of this definition, including a family whose composition has fluctuated while the head of household has been homeless. </w:t>
      </w:r>
    </w:p>
    <w:p w14:paraId="35D67D0F" w14:textId="77777777" w:rsidR="00795892" w:rsidRPr="0059025E" w:rsidRDefault="00795892" w:rsidP="00795892">
      <w:pPr>
        <w:pStyle w:val="ListParagraph"/>
        <w:numPr>
          <w:ilvl w:val="1"/>
          <w:numId w:val="17"/>
        </w:numPr>
        <w:jc w:val="both"/>
        <w:rPr>
          <w:rFonts w:ascii="Arial" w:eastAsia="Arial" w:hAnsi="Arial" w:cs="Arial"/>
          <w:sz w:val="21"/>
          <w:szCs w:val="21"/>
        </w:rPr>
      </w:pPr>
      <w:r w:rsidRPr="0059025E">
        <w:rPr>
          <w:rFonts w:ascii="Arial" w:eastAsia="Arial" w:hAnsi="Arial" w:cs="Arial"/>
          <w:sz w:val="21"/>
          <w:szCs w:val="21"/>
        </w:rPr>
        <w:t>Residing in a transitional housing project that will be eliminated and meets the definition of chronically homeless in effect at the time in which the individual or family entered the transitional housing project;</w:t>
      </w:r>
    </w:p>
    <w:p w14:paraId="008883B7" w14:textId="77777777" w:rsidR="00795892" w:rsidRPr="0059025E" w:rsidRDefault="00795892" w:rsidP="00795892">
      <w:pPr>
        <w:pStyle w:val="ListParagraph"/>
        <w:numPr>
          <w:ilvl w:val="1"/>
          <w:numId w:val="17"/>
        </w:numPr>
        <w:jc w:val="both"/>
        <w:rPr>
          <w:rFonts w:ascii="Arial" w:eastAsia="Arial" w:hAnsi="Arial" w:cs="Arial"/>
          <w:sz w:val="21"/>
          <w:szCs w:val="21"/>
        </w:rPr>
      </w:pPr>
      <w:r w:rsidRPr="0059025E">
        <w:rPr>
          <w:rFonts w:ascii="Arial" w:eastAsia="Arial" w:hAnsi="Arial" w:cs="Arial"/>
          <w:sz w:val="21"/>
          <w:szCs w:val="21"/>
        </w:rPr>
        <w:t xml:space="preserve">Was experiencing chronic homelessness, had been placed in permanent housing within the last year, but was unable to maintain the housing, and as a result currently residing in a place not meant for human habitation, emergency shelter, or safe haven; </w:t>
      </w:r>
    </w:p>
    <w:p w14:paraId="1031C01A" w14:textId="77777777" w:rsidR="00795892" w:rsidRPr="0059025E" w:rsidRDefault="00795892" w:rsidP="00795892">
      <w:pPr>
        <w:pStyle w:val="ListParagraph"/>
        <w:numPr>
          <w:ilvl w:val="1"/>
          <w:numId w:val="17"/>
        </w:numPr>
        <w:jc w:val="both"/>
        <w:rPr>
          <w:rFonts w:ascii="Arial" w:eastAsia="Arial" w:hAnsi="Arial" w:cs="Arial"/>
          <w:sz w:val="21"/>
          <w:szCs w:val="21"/>
        </w:rPr>
      </w:pPr>
      <w:r w:rsidRPr="0059025E">
        <w:rPr>
          <w:rFonts w:ascii="Arial" w:eastAsia="Arial" w:hAnsi="Arial" w:cs="Arial"/>
          <w:sz w:val="21"/>
          <w:szCs w:val="21"/>
        </w:rPr>
        <w:t xml:space="preserve">Residing in transitional housing funded by a Joint Transitional Housing and Permanent Housing Rapid Re-Housing component project and who were experiencing chronic homelessness prior to entering the project; </w:t>
      </w:r>
    </w:p>
    <w:p w14:paraId="5FA356E6" w14:textId="77777777" w:rsidR="00795892" w:rsidRPr="0059025E" w:rsidRDefault="00795892" w:rsidP="00795892">
      <w:pPr>
        <w:pStyle w:val="ListParagraph"/>
        <w:numPr>
          <w:ilvl w:val="1"/>
          <w:numId w:val="17"/>
        </w:numPr>
        <w:jc w:val="both"/>
        <w:rPr>
          <w:rFonts w:ascii="Arial" w:eastAsia="Arial" w:hAnsi="Arial" w:cs="Arial"/>
          <w:sz w:val="21"/>
          <w:szCs w:val="21"/>
        </w:rPr>
      </w:pPr>
      <w:r w:rsidRPr="0059025E">
        <w:rPr>
          <w:rFonts w:ascii="Arial" w:eastAsia="Arial" w:hAnsi="Arial" w:cs="Arial"/>
          <w:sz w:val="21"/>
          <w:szCs w:val="21"/>
        </w:rPr>
        <w:t xml:space="preserve">Residing and has resided in a place not meant for human habitation, a safe haven, or emergency shelter for at least 12 months in the last three years, but has not done so on four separate occasions; or </w:t>
      </w:r>
    </w:p>
    <w:p w14:paraId="18499667" w14:textId="77777777" w:rsidR="00795892" w:rsidRPr="0059025E" w:rsidRDefault="00795892" w:rsidP="00795892">
      <w:pPr>
        <w:pStyle w:val="ListParagraph"/>
        <w:numPr>
          <w:ilvl w:val="1"/>
          <w:numId w:val="17"/>
        </w:numPr>
        <w:jc w:val="both"/>
        <w:rPr>
          <w:rFonts w:ascii="Arial" w:eastAsia="Arial" w:hAnsi="Arial" w:cs="Arial"/>
          <w:sz w:val="21"/>
          <w:szCs w:val="21"/>
        </w:rPr>
      </w:pPr>
      <w:r w:rsidRPr="0059025E">
        <w:rPr>
          <w:rFonts w:ascii="Arial" w:eastAsia="Arial" w:hAnsi="Arial" w:cs="Arial"/>
          <w:sz w:val="21"/>
          <w:szCs w:val="21"/>
        </w:rPr>
        <w:t>Receiving assistance through a Department of Veterans Affairs (VA)-funded homeless assistance program and met one of the above criteria at initial intake to the VA's homeless assistance system.</w:t>
      </w:r>
    </w:p>
    <w:p w14:paraId="5A1BAB4F"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7287D0E2" w14:textId="77777777" w:rsidR="00795892" w:rsidRPr="0059025E" w:rsidRDefault="00795892" w:rsidP="00795892">
      <w:pPr>
        <w:pStyle w:val="ListParagraph"/>
        <w:numPr>
          <w:ilvl w:val="0"/>
          <w:numId w:val="17"/>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Provide the Housing Authority with a complete Application Referral Packet that includes the following documentation and forms:</w:t>
      </w:r>
    </w:p>
    <w:p w14:paraId="5F65707A" w14:textId="77777777" w:rsidR="00795892" w:rsidRPr="0059025E" w:rsidRDefault="00795892" w:rsidP="00795892">
      <w:pPr>
        <w:pStyle w:val="ListParagraph"/>
        <w:numPr>
          <w:ilvl w:val="0"/>
          <w:numId w:val="16"/>
        </w:numPr>
        <w:ind w:hanging="180"/>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Agency Referral letter which contains the following information: brief description of the person (name, age, where they are staying right now, their VI-SPDAT Score), chronological history of homelessness, when and how the person became homeless, explanation of their disability without stating diagnosis, explanation of how they meet the definition of Dedicated Plus, how will they work on maintaining permanent housing once housed.</w:t>
      </w:r>
    </w:p>
    <w:p w14:paraId="5198D442" w14:textId="77777777" w:rsidR="00795892" w:rsidRPr="0059025E" w:rsidRDefault="00795892" w:rsidP="00795892">
      <w:pPr>
        <w:pStyle w:val="ListParagraph"/>
        <w:numPr>
          <w:ilvl w:val="0"/>
          <w:numId w:val="16"/>
        </w:numPr>
        <w:ind w:hanging="180"/>
        <w:jc w:val="both"/>
        <w:rPr>
          <w:rFonts w:ascii="Arial" w:eastAsia="Arial" w:hAnsi="Arial" w:cs="Arial"/>
          <w:color w:val="000000" w:themeColor="text1"/>
          <w:sz w:val="21"/>
          <w:szCs w:val="21"/>
        </w:rPr>
      </w:pPr>
      <w:r w:rsidRPr="0059025E">
        <w:rPr>
          <w:rFonts w:ascii="Arial" w:eastAsia="Arial" w:hAnsi="Arial" w:cs="Arial"/>
          <w:sz w:val="21"/>
          <w:szCs w:val="21"/>
        </w:rPr>
        <w:t>Copy of client’s Soc</w:t>
      </w:r>
      <w:r w:rsidRPr="0059025E">
        <w:rPr>
          <w:rFonts w:ascii="Arial" w:eastAsia="Arial" w:hAnsi="Arial" w:cs="Arial"/>
          <w:color w:val="000000" w:themeColor="text1"/>
          <w:sz w:val="21"/>
          <w:szCs w:val="21"/>
        </w:rPr>
        <w:t xml:space="preserve">ial Security card, Birth Certificate (for US born applicants), Eligible </w:t>
      </w:r>
      <w:r w:rsidRPr="0059025E">
        <w:rPr>
          <w:rFonts w:ascii="Arial" w:eastAsia="Arial" w:hAnsi="Arial" w:cs="Arial"/>
          <w:color w:val="000000" w:themeColor="text1"/>
          <w:sz w:val="21"/>
          <w:szCs w:val="21"/>
        </w:rPr>
        <w:lastRenderedPageBreak/>
        <w:t xml:space="preserve">Immigration document for non-US born applicants (Work Permits, Alien Cards, Naturalization Certificates, etc.) and Government issued picture identification; </w:t>
      </w:r>
    </w:p>
    <w:p w14:paraId="6F13BCF1"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Applicant/Tenant Information Disclosure Certification and Application Forms</w:t>
      </w:r>
    </w:p>
    <w:p w14:paraId="63446901"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Declaration of Citizen/Lawful Resident Status Form</w:t>
      </w:r>
    </w:p>
    <w:p w14:paraId="527D2427"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Certification of Disabling Condition</w:t>
      </w:r>
    </w:p>
    <w:p w14:paraId="25E0CF60"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 xml:space="preserve">Homeless and At Risk of Homelessness Certification Form </w:t>
      </w:r>
    </w:p>
    <w:p w14:paraId="3C805C3C"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Notice of Occupancy Rights under the Violence Against Women Act – HUD-5380</w:t>
      </w:r>
    </w:p>
    <w:p w14:paraId="235F32C7"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Certification of Domestic Violence, Dating Violence, Sexual Assault, or Stalking, and Alternate Documentation – HUD-5382 (if applicable)</w:t>
      </w:r>
    </w:p>
    <w:p w14:paraId="162BD2FD"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Criminal and Sex-Offender History/Disclosure</w:t>
      </w:r>
    </w:p>
    <w:p w14:paraId="2A49ED75"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 xml:space="preserve">HMIS/VI SPDAT Report </w:t>
      </w:r>
    </w:p>
    <w:p w14:paraId="71276829"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Authorization for Release of Information Forms for the PHA and HUD</w:t>
      </w:r>
    </w:p>
    <w:p w14:paraId="0FD3D1C0" w14:textId="77777777" w:rsidR="00795892" w:rsidRPr="0059025E" w:rsidRDefault="00795892" w:rsidP="00795892">
      <w:pPr>
        <w:pStyle w:val="ListParagraph"/>
        <w:numPr>
          <w:ilvl w:val="0"/>
          <w:numId w:val="16"/>
        </w:numPr>
        <w:ind w:hanging="180"/>
        <w:jc w:val="both"/>
        <w:rPr>
          <w:rFonts w:ascii="Arial" w:eastAsia="Arial" w:hAnsi="Arial" w:cs="Arial"/>
          <w:sz w:val="21"/>
          <w:szCs w:val="21"/>
        </w:rPr>
      </w:pPr>
      <w:r w:rsidRPr="0059025E">
        <w:rPr>
          <w:rFonts w:ascii="Arial" w:eastAsia="Arial" w:hAnsi="Arial" w:cs="Arial"/>
          <w:sz w:val="21"/>
          <w:szCs w:val="21"/>
        </w:rPr>
        <w:t>Verification of income (dated less than 60 days from application submittal)</w:t>
      </w:r>
    </w:p>
    <w:p w14:paraId="4C22791B"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618CF026" w14:textId="77777777" w:rsidR="00795892" w:rsidRPr="0059025E" w:rsidRDefault="00795892" w:rsidP="00795892">
      <w:pPr>
        <w:pStyle w:val="ListParagraph"/>
        <w:numPr>
          <w:ilvl w:val="0"/>
          <w:numId w:val="17"/>
        </w:numPr>
        <w:jc w:val="both"/>
        <w:rPr>
          <w:rFonts w:ascii="Arial" w:eastAsia="Arial" w:hAnsi="Arial" w:cs="Arial"/>
          <w:sz w:val="21"/>
          <w:szCs w:val="21"/>
        </w:rPr>
      </w:pPr>
      <w:r w:rsidRPr="0059025E">
        <w:rPr>
          <w:rFonts w:ascii="Arial" w:eastAsia="Arial" w:hAnsi="Arial" w:cs="Arial"/>
          <w:sz w:val="21"/>
          <w:szCs w:val="21"/>
        </w:rPr>
        <w:t>Ensure case managers conduct a thorough screening and assessment of each individual’s care needs. The screening will include assessment of the individual’s ability to live independently.</w:t>
      </w:r>
      <w:r>
        <w:rPr>
          <w:rFonts w:ascii="Arial" w:eastAsia="Arial" w:hAnsi="Arial" w:cs="Arial"/>
          <w:sz w:val="21"/>
          <w:szCs w:val="21"/>
        </w:rPr>
        <w:t xml:space="preserve"> </w:t>
      </w:r>
      <w:r w:rsidRPr="0059025E">
        <w:rPr>
          <w:rFonts w:ascii="Arial" w:eastAsia="Arial" w:hAnsi="Arial" w:cs="Arial"/>
          <w:sz w:val="21"/>
          <w:szCs w:val="21"/>
        </w:rPr>
        <w:t>In addition, the individual must not present a danger to self or others and the individual must not require a higher level of care than what is offered by the voucher program. Based on the applicant’s needs, case managers will recommend applicants for either a Scattered Site Housing or a Site-Specific Housing.</w:t>
      </w:r>
    </w:p>
    <w:p w14:paraId="76E5DEDB"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6BA37DD4" w14:textId="77777777" w:rsidR="00795892" w:rsidRPr="0059025E" w:rsidRDefault="00795892" w:rsidP="00795892">
      <w:pPr>
        <w:pStyle w:val="ListParagraph"/>
        <w:numPr>
          <w:ilvl w:val="0"/>
          <w:numId w:val="17"/>
        </w:numPr>
        <w:jc w:val="both"/>
        <w:rPr>
          <w:rFonts w:ascii="Arial" w:eastAsia="Arial" w:hAnsi="Arial" w:cs="Arial"/>
          <w:sz w:val="21"/>
          <w:szCs w:val="21"/>
        </w:rPr>
      </w:pPr>
      <w:r w:rsidRPr="0059025E">
        <w:rPr>
          <w:rFonts w:ascii="Arial" w:eastAsia="Arial" w:hAnsi="Arial" w:cs="Arial"/>
          <w:sz w:val="21"/>
          <w:szCs w:val="21"/>
        </w:rPr>
        <w:t xml:space="preserve">Once housed, ensure that the participant is providing SMHA with accurate and timely information regarding changes in household composition, income, </w:t>
      </w:r>
      <w:proofErr w:type="gramStart"/>
      <w:r w:rsidRPr="0059025E">
        <w:rPr>
          <w:rFonts w:ascii="Arial" w:eastAsia="Arial" w:hAnsi="Arial" w:cs="Arial"/>
          <w:sz w:val="21"/>
          <w:szCs w:val="21"/>
        </w:rPr>
        <w:t>disability</w:t>
      </w:r>
      <w:proofErr w:type="gramEnd"/>
      <w:r w:rsidRPr="0059025E">
        <w:rPr>
          <w:rFonts w:ascii="Arial" w:eastAsia="Arial" w:hAnsi="Arial" w:cs="Arial"/>
          <w:sz w:val="21"/>
          <w:szCs w:val="21"/>
        </w:rPr>
        <w:t xml:space="preserve"> or other matters pertinent to Continuum of Care program participation or lease terms. Case managers must assist tenant with submitting annual recertification documents via email or be present during annual recertification meetings with the Housing Authority and at inspections.</w:t>
      </w:r>
    </w:p>
    <w:p w14:paraId="7A1F1B08"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165D0D33" w14:textId="77777777" w:rsidR="00795892" w:rsidRPr="0059025E" w:rsidRDefault="00795892" w:rsidP="00795892">
      <w:pPr>
        <w:pStyle w:val="ListParagraph"/>
        <w:numPr>
          <w:ilvl w:val="0"/>
          <w:numId w:val="17"/>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Provide, ensure, </w:t>
      </w:r>
      <w:proofErr w:type="gramStart"/>
      <w:r w:rsidRPr="0059025E">
        <w:rPr>
          <w:rFonts w:ascii="Arial" w:eastAsia="Arial" w:hAnsi="Arial" w:cs="Arial"/>
          <w:color w:val="000000" w:themeColor="text1"/>
          <w:sz w:val="21"/>
          <w:szCs w:val="21"/>
        </w:rPr>
        <w:t>document</w:t>
      </w:r>
      <w:proofErr w:type="gramEnd"/>
      <w:r w:rsidRPr="0059025E">
        <w:rPr>
          <w:rFonts w:ascii="Arial" w:eastAsia="Arial" w:hAnsi="Arial" w:cs="Arial"/>
          <w:color w:val="000000" w:themeColor="text1"/>
          <w:sz w:val="21"/>
          <w:szCs w:val="21"/>
        </w:rPr>
        <w:t xml:space="preserve"> and monitor the provision of housing placement assistance and supportive services on an ongoing basis according to the needs of the participants and the requirements of Continuum of Care for the entire term of the agreement or the entire term of the rental assistance, whichever is longer. Housing placement assistance is defined as referring qualified applicants, working with applicants to complete all required Housing Authority and owner lease-related </w:t>
      </w:r>
      <w:proofErr w:type="gramStart"/>
      <w:r w:rsidRPr="0059025E">
        <w:rPr>
          <w:rFonts w:ascii="Arial" w:eastAsia="Arial" w:hAnsi="Arial" w:cs="Arial"/>
          <w:color w:val="000000" w:themeColor="text1"/>
          <w:sz w:val="21"/>
          <w:szCs w:val="21"/>
        </w:rPr>
        <w:t>documents</w:t>
      </w:r>
      <w:proofErr w:type="gramEnd"/>
      <w:r w:rsidRPr="0059025E">
        <w:rPr>
          <w:rFonts w:ascii="Arial" w:eastAsia="Arial" w:hAnsi="Arial" w:cs="Arial"/>
          <w:color w:val="000000" w:themeColor="text1"/>
          <w:sz w:val="21"/>
          <w:szCs w:val="21"/>
        </w:rPr>
        <w:t xml:space="preserve"> and assisting the tenant in locating permanent housing. </w:t>
      </w:r>
    </w:p>
    <w:p w14:paraId="0AD02AC8"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6F05F88B" w14:textId="77777777" w:rsidR="00795892" w:rsidRPr="00C6363D" w:rsidRDefault="00795892" w:rsidP="00795892">
      <w:pPr>
        <w:jc w:val="both"/>
        <w:rPr>
          <w:rFonts w:ascii="Arial" w:eastAsia="Arial" w:hAnsi="Arial" w:cs="Arial"/>
          <w:color w:val="008080"/>
          <w:sz w:val="21"/>
          <w:szCs w:val="21"/>
          <w:u w:val="single"/>
        </w:rPr>
      </w:pPr>
      <w:r w:rsidRPr="00C6363D">
        <w:rPr>
          <w:rFonts w:ascii="Arial" w:eastAsia="Arial" w:hAnsi="Arial" w:cs="Arial"/>
          <w:color w:val="000000" w:themeColor="text1"/>
          <w:sz w:val="21"/>
          <w:szCs w:val="21"/>
        </w:rPr>
        <w:t xml:space="preserve">CoC grant funding may be used </w:t>
      </w:r>
      <w:r w:rsidRPr="00C6363D">
        <w:rPr>
          <w:rFonts w:ascii="Arial" w:eastAsia="Arial" w:hAnsi="Arial" w:cs="Arial"/>
          <w:sz w:val="21"/>
          <w:szCs w:val="21"/>
        </w:rPr>
        <w:t>to pay for the delivery of direct supportive services. The CoC grant funding portion of this contract shall be used exclusively for salaries and benefits for case management staff. The grantee is expected to provide in-kind matching services as outlined in 24CFR 578.53 including:</w:t>
      </w:r>
    </w:p>
    <w:p w14:paraId="531CEE0C" w14:textId="77777777" w:rsidR="00795892" w:rsidRPr="0059025E" w:rsidRDefault="00795892" w:rsidP="00795892">
      <w:pPr>
        <w:jc w:val="both"/>
        <w:rPr>
          <w:rFonts w:ascii="Arial" w:eastAsia="Arial" w:hAnsi="Arial" w:cs="Arial"/>
          <w:sz w:val="24"/>
        </w:rPr>
      </w:pPr>
    </w:p>
    <w:p w14:paraId="17E51E73" w14:textId="77777777" w:rsidR="00795892" w:rsidRPr="0059025E" w:rsidRDefault="00795892" w:rsidP="00795892">
      <w:pPr>
        <w:jc w:val="both"/>
        <w:rPr>
          <w:rFonts w:ascii="Arial" w:eastAsia="Arial" w:hAnsi="Arial" w:cs="Arial"/>
          <w:strike/>
          <w:sz w:val="21"/>
          <w:szCs w:val="21"/>
        </w:rPr>
      </w:pPr>
      <w:r w:rsidRPr="0059025E">
        <w:rPr>
          <w:rFonts w:ascii="Arial" w:eastAsia="Arial" w:hAnsi="Arial" w:cs="Arial"/>
          <w:sz w:val="21"/>
          <w:szCs w:val="21"/>
        </w:rPr>
        <w:t>Address the special needs of program participants, including conducting an annual assessment for each participant</w:t>
      </w:r>
      <w:r w:rsidRPr="0059025E">
        <w:rPr>
          <w:rFonts w:ascii="Arial" w:eastAsia="Arial" w:hAnsi="Arial" w:cs="Arial"/>
          <w:strike/>
          <w:sz w:val="21"/>
          <w:szCs w:val="21"/>
        </w:rPr>
        <w:t>;</w:t>
      </w:r>
    </w:p>
    <w:p w14:paraId="4BCDDE52" w14:textId="77777777" w:rsidR="00795892" w:rsidRPr="0059025E" w:rsidRDefault="00795892" w:rsidP="00795892">
      <w:pPr>
        <w:tabs>
          <w:tab w:val="left" w:pos="1170"/>
        </w:tabs>
        <w:jc w:val="both"/>
        <w:rPr>
          <w:rFonts w:ascii="Arial" w:hAnsi="Arial" w:cs="Arial"/>
        </w:rPr>
      </w:pPr>
      <w:r w:rsidRPr="0059025E">
        <w:rPr>
          <w:rFonts w:ascii="Arial" w:eastAsia="Arial" w:hAnsi="Arial" w:cs="Arial"/>
          <w:color w:val="000000" w:themeColor="text1"/>
          <w:sz w:val="16"/>
          <w:szCs w:val="16"/>
        </w:rPr>
        <w:t xml:space="preserve"> </w:t>
      </w:r>
    </w:p>
    <w:p w14:paraId="33D6C0A3" w14:textId="77777777" w:rsidR="00795892" w:rsidRPr="0059025E" w:rsidRDefault="00795892" w:rsidP="00795892">
      <w:pPr>
        <w:pStyle w:val="ListParagraph"/>
        <w:numPr>
          <w:ilvl w:val="0"/>
          <w:numId w:val="15"/>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Provide appropriate services or assist such persons in obtaining and maintaining housing;</w:t>
      </w:r>
    </w:p>
    <w:p w14:paraId="50A906AE" w14:textId="77777777" w:rsidR="00795892" w:rsidRPr="0059025E" w:rsidRDefault="00795892" w:rsidP="00795892">
      <w:pPr>
        <w:tabs>
          <w:tab w:val="left" w:pos="1170"/>
        </w:tabs>
        <w:jc w:val="both"/>
        <w:rPr>
          <w:rFonts w:ascii="Arial" w:hAnsi="Arial" w:cs="Arial"/>
        </w:rPr>
      </w:pPr>
      <w:r w:rsidRPr="0059025E">
        <w:rPr>
          <w:rFonts w:ascii="Arial" w:eastAsia="Arial" w:hAnsi="Arial" w:cs="Arial"/>
          <w:color w:val="000000" w:themeColor="text1"/>
          <w:sz w:val="24"/>
        </w:rPr>
        <w:t xml:space="preserve"> </w:t>
      </w:r>
    </w:p>
    <w:p w14:paraId="7F721667" w14:textId="77777777" w:rsidR="00795892" w:rsidRPr="0059025E" w:rsidRDefault="00795892" w:rsidP="00795892">
      <w:pPr>
        <w:pStyle w:val="ListParagraph"/>
        <w:numPr>
          <w:ilvl w:val="0"/>
          <w:numId w:val="15"/>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Conduct annual assessments of the service needs and benefits needs of program participants and adjusting services accordingly;</w:t>
      </w:r>
    </w:p>
    <w:p w14:paraId="56D25B69" w14:textId="77777777" w:rsidR="00795892" w:rsidRPr="0059025E" w:rsidRDefault="00795892" w:rsidP="00795892">
      <w:pPr>
        <w:tabs>
          <w:tab w:val="left" w:pos="1170"/>
        </w:tabs>
        <w:jc w:val="both"/>
        <w:rPr>
          <w:rFonts w:ascii="Arial" w:hAnsi="Arial" w:cs="Arial"/>
        </w:rPr>
      </w:pPr>
      <w:r w:rsidRPr="0059025E">
        <w:rPr>
          <w:rFonts w:ascii="Arial" w:eastAsia="Arial" w:hAnsi="Arial" w:cs="Arial"/>
          <w:color w:val="000000" w:themeColor="text1"/>
          <w:sz w:val="24"/>
        </w:rPr>
        <w:t xml:space="preserve"> </w:t>
      </w:r>
    </w:p>
    <w:p w14:paraId="5F09BDDC" w14:textId="77777777" w:rsidR="00795892" w:rsidRPr="0059025E" w:rsidRDefault="00795892" w:rsidP="00795892">
      <w:pPr>
        <w:pStyle w:val="ListParagraph"/>
        <w:numPr>
          <w:ilvl w:val="0"/>
          <w:numId w:val="15"/>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Provide supportive services for residents to enable them to live as independently as practicable throughout the duration of their residence in the property. [Appropriate services can include out-patient health care, mental health treatment, alcohol and other substance abuse services, </w:t>
      </w:r>
      <w:proofErr w:type="gramStart"/>
      <w:r w:rsidRPr="0059025E">
        <w:rPr>
          <w:rFonts w:ascii="Arial" w:eastAsia="Arial" w:hAnsi="Arial" w:cs="Arial"/>
          <w:color w:val="000000" w:themeColor="text1"/>
          <w:sz w:val="21"/>
          <w:szCs w:val="21"/>
        </w:rPr>
        <w:t>child care</w:t>
      </w:r>
      <w:proofErr w:type="gramEnd"/>
      <w:r w:rsidRPr="0059025E">
        <w:rPr>
          <w:rFonts w:ascii="Arial" w:eastAsia="Arial" w:hAnsi="Arial" w:cs="Arial"/>
          <w:color w:val="000000" w:themeColor="text1"/>
          <w:sz w:val="21"/>
          <w:szCs w:val="21"/>
        </w:rPr>
        <w:t xml:space="preserve"> services, case management services, counseling, supervision, education, job training, and other services essential for achieving and maintaining independent living].</w:t>
      </w:r>
    </w:p>
    <w:p w14:paraId="13C57E49" w14:textId="77777777" w:rsidR="00795892" w:rsidRPr="0059025E" w:rsidRDefault="00795892" w:rsidP="00795892">
      <w:pPr>
        <w:pStyle w:val="ListParagraph"/>
        <w:numPr>
          <w:ilvl w:val="0"/>
          <w:numId w:val="11"/>
        </w:numPr>
        <w:ind w:left="1440"/>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St. Joseph Center remains in compliance and adheres to all Continuum of Care Sponsor Agencies requirements, delivering and documenting services and outcomes as detailed in Exhibit A-1.</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 xml:space="preserve"> </w:t>
      </w:r>
    </w:p>
    <w:p w14:paraId="1A8A7670" w14:textId="77777777" w:rsidR="00795892" w:rsidRPr="0059025E" w:rsidRDefault="00795892" w:rsidP="00795892">
      <w:pPr>
        <w:pStyle w:val="ListParagraph"/>
        <w:numPr>
          <w:ilvl w:val="0"/>
          <w:numId w:val="11"/>
        </w:numPr>
        <w:ind w:left="1440"/>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SJC adheres to all Department of Housing and Urban Development Continuum of Care regulations as specified in 24 CFR, Part 578 CoC Interim Rule updated 4/1/17, the Hearth </w:t>
      </w:r>
      <w:r w:rsidRPr="0059025E">
        <w:rPr>
          <w:rFonts w:ascii="Arial" w:eastAsia="Arial" w:hAnsi="Arial" w:cs="Arial"/>
          <w:color w:val="000000" w:themeColor="text1"/>
          <w:sz w:val="21"/>
          <w:szCs w:val="21"/>
        </w:rPr>
        <w:lastRenderedPageBreak/>
        <w:t>Act of 2009, and Chapter 19 of the Santa Monica Housing Authority Administrative Plan by ensuring the following:</w:t>
      </w:r>
      <w:r>
        <w:rPr>
          <w:rFonts w:ascii="Arial" w:eastAsia="Arial" w:hAnsi="Arial" w:cs="Arial"/>
          <w:color w:val="000000" w:themeColor="text1"/>
          <w:sz w:val="21"/>
          <w:szCs w:val="21"/>
        </w:rPr>
        <w:t xml:space="preserve"> </w:t>
      </w:r>
    </w:p>
    <w:p w14:paraId="4CEE57D7" w14:textId="77777777" w:rsidR="00795892" w:rsidRPr="0059025E" w:rsidRDefault="00795892" w:rsidP="00795892">
      <w:pPr>
        <w:pStyle w:val="ListParagraph"/>
        <w:numPr>
          <w:ilvl w:val="0"/>
          <w:numId w:val="11"/>
        </w:numPr>
        <w:ind w:left="1440"/>
        <w:rPr>
          <w:rFonts w:ascii="Arial" w:eastAsia="Arial" w:hAnsi="Arial" w:cs="Arial"/>
          <w:color w:val="000000" w:themeColor="text1"/>
          <w:sz w:val="21"/>
          <w:szCs w:val="21"/>
        </w:rPr>
      </w:pPr>
      <w:r w:rsidRPr="0059025E">
        <w:rPr>
          <w:rFonts w:ascii="Arial" w:eastAsia="Arial" w:hAnsi="Arial" w:cs="Arial"/>
          <w:color w:val="000000" w:themeColor="text1"/>
          <w:sz w:val="21"/>
          <w:szCs w:val="21"/>
        </w:rPr>
        <w:t>Refer all qualifying individuals and families who meet the Dedicated Plus HUD requirements as defined under 24 CFR 578.3 to the SMHA for CoC program.</w:t>
      </w:r>
      <w:r>
        <w:rPr>
          <w:rFonts w:ascii="Arial" w:eastAsia="Arial" w:hAnsi="Arial" w:cs="Arial"/>
          <w:color w:val="000000" w:themeColor="text1"/>
          <w:sz w:val="21"/>
          <w:szCs w:val="21"/>
        </w:rPr>
        <w:t xml:space="preserve"> </w:t>
      </w:r>
    </w:p>
    <w:p w14:paraId="6EACB2F0" w14:textId="77777777" w:rsidR="00795892" w:rsidRPr="0059025E" w:rsidRDefault="00795892" w:rsidP="00795892">
      <w:pPr>
        <w:pStyle w:val="ListParagraph"/>
        <w:numPr>
          <w:ilvl w:val="0"/>
          <w:numId w:val="11"/>
        </w:numPr>
        <w:ind w:left="1440"/>
        <w:rPr>
          <w:rFonts w:ascii="Arial" w:eastAsia="Arial" w:hAnsi="Arial" w:cs="Arial"/>
          <w:color w:val="000000" w:themeColor="text1"/>
          <w:sz w:val="21"/>
          <w:szCs w:val="21"/>
        </w:rPr>
      </w:pPr>
      <w:r w:rsidRPr="0059025E">
        <w:rPr>
          <w:rFonts w:ascii="Arial" w:eastAsia="Arial" w:hAnsi="Arial" w:cs="Arial"/>
          <w:color w:val="000000" w:themeColor="text1"/>
          <w:sz w:val="21"/>
          <w:szCs w:val="21"/>
        </w:rPr>
        <w:t>Assist individuals and families with completing an Application Referral Packet along with required documentation such as but not limited to an agency referral letter (including homeless status, VI-SPDAT score, disability, etc.), copy of social security card, birth certificate, eligible immigrant documents (work permits, alien cards, naturalization certificates, etc.), government issued identification, applicant/tenant disclosures, certification of disabling conditions, information releases, etc.</w:t>
      </w:r>
      <w:r>
        <w:rPr>
          <w:rFonts w:ascii="Arial" w:eastAsia="Arial" w:hAnsi="Arial" w:cs="Arial"/>
          <w:color w:val="000000" w:themeColor="text1"/>
          <w:sz w:val="21"/>
          <w:szCs w:val="21"/>
        </w:rPr>
        <w:t xml:space="preserve"> </w:t>
      </w:r>
    </w:p>
    <w:p w14:paraId="7259873D" w14:textId="77777777" w:rsidR="00795892" w:rsidRPr="0059025E" w:rsidRDefault="00795892" w:rsidP="00795892">
      <w:pPr>
        <w:pStyle w:val="ListParagraph"/>
        <w:numPr>
          <w:ilvl w:val="0"/>
          <w:numId w:val="11"/>
        </w:numPr>
        <w:ind w:left="1440"/>
        <w:rPr>
          <w:rFonts w:ascii="Arial" w:eastAsia="Arial" w:hAnsi="Arial" w:cs="Arial"/>
          <w:color w:val="000000" w:themeColor="text1"/>
          <w:sz w:val="21"/>
          <w:szCs w:val="21"/>
        </w:rPr>
      </w:pPr>
      <w:r w:rsidRPr="0059025E">
        <w:rPr>
          <w:rFonts w:ascii="Arial" w:eastAsia="Arial" w:hAnsi="Arial" w:cs="Arial"/>
          <w:color w:val="000000" w:themeColor="text1"/>
          <w:sz w:val="21"/>
          <w:szCs w:val="21"/>
        </w:rPr>
        <w:t>Complete an assessment and screening of each individual’s care needs and ability to live independently. Identify if the CoC voucher program is appropriate for the level of care required for the client to live and thrive in the program, Case Mangers will assist with recommending the site placement to be either Scattered Site Housing of Site-Specific Housing based on assessment and needs.</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 xml:space="preserve"> </w:t>
      </w:r>
    </w:p>
    <w:p w14:paraId="6FA61848" w14:textId="77777777" w:rsidR="00795892" w:rsidRPr="0059025E" w:rsidRDefault="00795892" w:rsidP="00795892">
      <w:pPr>
        <w:pStyle w:val="ListParagraph"/>
        <w:numPr>
          <w:ilvl w:val="0"/>
          <w:numId w:val="11"/>
        </w:numPr>
        <w:ind w:left="1440"/>
        <w:rPr>
          <w:rFonts w:ascii="Arial" w:eastAsia="Arial" w:hAnsi="Arial" w:cs="Arial"/>
          <w:color w:val="000000" w:themeColor="text1"/>
          <w:sz w:val="21"/>
          <w:szCs w:val="21"/>
        </w:rPr>
      </w:pPr>
      <w:r w:rsidRPr="0059025E">
        <w:rPr>
          <w:rFonts w:ascii="Arial" w:eastAsia="Arial" w:hAnsi="Arial" w:cs="Arial"/>
          <w:color w:val="000000" w:themeColor="text1"/>
          <w:sz w:val="21"/>
          <w:szCs w:val="21"/>
        </w:rPr>
        <w:t>Once housed, SJC will assist with retention and stabilization services to ensure the participant is providing SMHA with accurate and timely information in changes to household such as income, disability, household composition, and any other relevant changes that could affect their housing status.</w:t>
      </w:r>
      <w:r>
        <w:rPr>
          <w:rFonts w:ascii="Arial" w:eastAsia="Arial" w:hAnsi="Arial" w:cs="Arial"/>
          <w:color w:val="000000" w:themeColor="text1"/>
          <w:sz w:val="21"/>
          <w:szCs w:val="21"/>
        </w:rPr>
        <w:t xml:space="preserve">  </w:t>
      </w:r>
    </w:p>
    <w:p w14:paraId="51FE7C5D" w14:textId="77777777" w:rsidR="00795892" w:rsidRPr="0059025E" w:rsidRDefault="00795892" w:rsidP="00795892">
      <w:pPr>
        <w:pStyle w:val="ListParagraph"/>
        <w:numPr>
          <w:ilvl w:val="0"/>
          <w:numId w:val="11"/>
        </w:numPr>
        <w:ind w:left="1440"/>
        <w:rPr>
          <w:rFonts w:ascii="Arial" w:eastAsia="Arial" w:hAnsi="Arial" w:cs="Arial"/>
          <w:color w:val="000000" w:themeColor="text1"/>
          <w:sz w:val="21"/>
          <w:szCs w:val="21"/>
        </w:rPr>
      </w:pPr>
      <w:r w:rsidRPr="0059025E">
        <w:rPr>
          <w:rFonts w:ascii="Arial" w:eastAsia="Arial" w:hAnsi="Arial" w:cs="Arial"/>
          <w:color w:val="000000" w:themeColor="text1"/>
          <w:sz w:val="21"/>
          <w:szCs w:val="21"/>
        </w:rPr>
        <w:t>Assist with completion of annual recertification documents.</w:t>
      </w:r>
      <w:r>
        <w:rPr>
          <w:rFonts w:ascii="Arial" w:eastAsia="Arial" w:hAnsi="Arial" w:cs="Arial"/>
          <w:color w:val="000000" w:themeColor="text1"/>
          <w:sz w:val="21"/>
          <w:szCs w:val="21"/>
        </w:rPr>
        <w:t xml:space="preserve"> </w:t>
      </w:r>
    </w:p>
    <w:p w14:paraId="2AF5DF84" w14:textId="77777777" w:rsidR="00795892" w:rsidRDefault="00795892" w:rsidP="00795892">
      <w:pPr>
        <w:pStyle w:val="ListParagraph"/>
        <w:numPr>
          <w:ilvl w:val="0"/>
          <w:numId w:val="11"/>
        </w:numPr>
        <w:ind w:left="1440"/>
        <w:rPr>
          <w:rFonts w:ascii="Arial" w:eastAsia="Arial" w:hAnsi="Arial" w:cs="Arial"/>
          <w:color w:val="000000" w:themeColor="text1"/>
          <w:sz w:val="21"/>
          <w:szCs w:val="21"/>
        </w:rPr>
      </w:pPr>
      <w:r w:rsidRPr="0059025E">
        <w:rPr>
          <w:rFonts w:ascii="Arial" w:eastAsia="Arial" w:hAnsi="Arial" w:cs="Arial"/>
          <w:color w:val="000000" w:themeColor="text1"/>
          <w:sz w:val="21"/>
          <w:szCs w:val="21"/>
        </w:rPr>
        <w:t>Case managers will document and monitor the participants to ensure housing stability and offer other supportive services they may be eligible for on an on-going bases according to the needs of the participant for the entire term of their program participation.</w:t>
      </w:r>
    </w:p>
    <w:p w14:paraId="1EA769A8" w14:textId="77777777" w:rsidR="00BF3302" w:rsidRPr="0059025E" w:rsidRDefault="00BF3302" w:rsidP="00BF3302">
      <w:pPr>
        <w:pStyle w:val="ListParagraph"/>
        <w:ind w:left="1440"/>
        <w:rPr>
          <w:rFonts w:ascii="Arial" w:eastAsia="Arial" w:hAnsi="Arial" w:cs="Arial"/>
          <w:color w:val="000000" w:themeColor="text1"/>
          <w:sz w:val="21"/>
          <w:szCs w:val="21"/>
        </w:rPr>
      </w:pPr>
    </w:p>
    <w:p w14:paraId="358C9BBA" w14:textId="77777777" w:rsidR="00795892" w:rsidRPr="00786EE8" w:rsidRDefault="00795892" w:rsidP="00795892">
      <w:pPr>
        <w:jc w:val="both"/>
        <w:rPr>
          <w:rFonts w:ascii="Arial" w:hAnsi="Arial" w:cs="Arial"/>
          <w:sz w:val="21"/>
          <w:szCs w:val="21"/>
        </w:rPr>
      </w:pPr>
      <w:r w:rsidRPr="00786EE8">
        <w:rPr>
          <w:rFonts w:ascii="Arial" w:eastAsia="Arial" w:hAnsi="Arial" w:cs="Arial"/>
          <w:b/>
          <w:bCs/>
          <w:color w:val="000000" w:themeColor="text1"/>
          <w:sz w:val="21"/>
          <w:szCs w:val="21"/>
        </w:rPr>
        <w:t>All Agencies are Responsible for</w:t>
      </w:r>
      <w:r w:rsidRPr="00786EE8">
        <w:rPr>
          <w:rFonts w:ascii="Arial" w:eastAsia="Arial" w:hAnsi="Arial" w:cs="Arial"/>
          <w:color w:val="000000" w:themeColor="text1"/>
          <w:sz w:val="21"/>
          <w:szCs w:val="21"/>
        </w:rPr>
        <w:t xml:space="preserve">: </w:t>
      </w:r>
    </w:p>
    <w:p w14:paraId="6E3F0110"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0218C27F" w14:textId="77777777" w:rsidR="00795892" w:rsidRPr="0059025E" w:rsidRDefault="00795892" w:rsidP="00795892">
      <w:pPr>
        <w:pStyle w:val="ListParagraph"/>
        <w:numPr>
          <w:ilvl w:val="0"/>
          <w:numId w:val="14"/>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Updating all client information in HMIS within 10 working days of that information being provided.</w:t>
      </w:r>
    </w:p>
    <w:p w14:paraId="0AEA2309" w14:textId="77777777" w:rsidR="00795892" w:rsidRPr="0059025E" w:rsidRDefault="00795892" w:rsidP="00795892">
      <w:pPr>
        <w:ind w:left="360" w:hanging="360"/>
        <w:jc w:val="both"/>
        <w:rPr>
          <w:rFonts w:ascii="Arial" w:hAnsi="Arial" w:cs="Arial"/>
        </w:rPr>
      </w:pPr>
      <w:r w:rsidRPr="0059025E">
        <w:rPr>
          <w:rFonts w:ascii="Arial" w:eastAsia="Arial" w:hAnsi="Arial" w:cs="Arial"/>
          <w:color w:val="000000" w:themeColor="text1"/>
          <w:sz w:val="24"/>
        </w:rPr>
        <w:t xml:space="preserve"> </w:t>
      </w:r>
    </w:p>
    <w:p w14:paraId="534EB9C8" w14:textId="77777777" w:rsidR="00795892" w:rsidRPr="0059025E" w:rsidRDefault="00795892" w:rsidP="00795892">
      <w:pPr>
        <w:pStyle w:val="ListParagraph"/>
        <w:numPr>
          <w:ilvl w:val="0"/>
          <w:numId w:val="14"/>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Maintaining hard copy and electronic Continuum of Care participant files and data as follows:</w:t>
      </w:r>
    </w:p>
    <w:p w14:paraId="0E3A1042" w14:textId="77777777" w:rsidR="00795892" w:rsidRPr="0059025E" w:rsidRDefault="00795892" w:rsidP="00795892">
      <w:pPr>
        <w:pStyle w:val="ListParagraph"/>
        <w:numPr>
          <w:ilvl w:val="1"/>
          <w:numId w:val="14"/>
        </w:numPr>
        <w:jc w:val="both"/>
        <w:rPr>
          <w:rFonts w:ascii="Arial" w:eastAsia="Arial" w:hAnsi="Arial" w:cs="Arial"/>
          <w:sz w:val="21"/>
          <w:szCs w:val="21"/>
        </w:rPr>
      </w:pPr>
      <w:r w:rsidRPr="0059025E">
        <w:rPr>
          <w:rFonts w:ascii="Arial" w:eastAsia="Arial" w:hAnsi="Arial" w:cs="Arial"/>
          <w:sz w:val="21"/>
          <w:szCs w:val="21"/>
        </w:rPr>
        <w:t>Hard Copy Files must contain:</w:t>
      </w:r>
    </w:p>
    <w:p w14:paraId="648E59AA" w14:textId="77777777" w:rsidR="00795892" w:rsidRPr="0059025E" w:rsidRDefault="00795892" w:rsidP="00795892">
      <w:pPr>
        <w:pStyle w:val="ListParagraph"/>
        <w:numPr>
          <w:ilvl w:val="2"/>
          <w:numId w:val="14"/>
        </w:numPr>
        <w:jc w:val="both"/>
        <w:rPr>
          <w:rFonts w:ascii="Arial" w:eastAsia="Arial" w:hAnsi="Arial" w:cs="Arial"/>
          <w:sz w:val="21"/>
          <w:szCs w:val="21"/>
        </w:rPr>
      </w:pPr>
      <w:proofErr w:type="spellStart"/>
      <w:r w:rsidRPr="0059025E">
        <w:rPr>
          <w:rFonts w:ascii="Arial" w:eastAsia="Arial" w:hAnsi="Arial" w:cs="Arial"/>
          <w:sz w:val="21"/>
          <w:szCs w:val="21"/>
        </w:rPr>
        <w:t>Face</w:t>
      </w:r>
      <w:proofErr w:type="spellEnd"/>
      <w:r w:rsidRPr="0059025E">
        <w:rPr>
          <w:rFonts w:ascii="Arial" w:eastAsia="Arial" w:hAnsi="Arial" w:cs="Arial"/>
          <w:sz w:val="21"/>
          <w:szCs w:val="21"/>
        </w:rPr>
        <w:t xml:space="preserve"> Sheet</w:t>
      </w:r>
    </w:p>
    <w:p w14:paraId="4412B69C" w14:textId="77777777" w:rsidR="00795892" w:rsidRPr="0059025E" w:rsidRDefault="00795892" w:rsidP="00795892">
      <w:pPr>
        <w:pStyle w:val="ListParagraph"/>
        <w:numPr>
          <w:ilvl w:val="2"/>
          <w:numId w:val="14"/>
        </w:numPr>
        <w:jc w:val="both"/>
        <w:rPr>
          <w:rFonts w:ascii="Arial" w:eastAsia="Arial" w:hAnsi="Arial" w:cs="Arial"/>
          <w:sz w:val="21"/>
          <w:szCs w:val="21"/>
        </w:rPr>
      </w:pPr>
      <w:r w:rsidRPr="0059025E">
        <w:rPr>
          <w:rFonts w:ascii="Arial" w:eastAsia="Arial" w:hAnsi="Arial" w:cs="Arial"/>
          <w:sz w:val="21"/>
          <w:szCs w:val="21"/>
        </w:rPr>
        <w:t>Copies of Application Materials (see 3 above)</w:t>
      </w:r>
    </w:p>
    <w:p w14:paraId="1CF44F13" w14:textId="77777777" w:rsidR="00795892" w:rsidRPr="0059025E" w:rsidRDefault="00795892" w:rsidP="00795892">
      <w:pPr>
        <w:pStyle w:val="ListParagraph"/>
        <w:numPr>
          <w:ilvl w:val="2"/>
          <w:numId w:val="14"/>
        </w:numPr>
        <w:jc w:val="both"/>
        <w:rPr>
          <w:rFonts w:ascii="Arial" w:eastAsia="Arial" w:hAnsi="Arial" w:cs="Arial"/>
          <w:sz w:val="21"/>
          <w:szCs w:val="21"/>
        </w:rPr>
      </w:pPr>
      <w:r w:rsidRPr="0059025E">
        <w:rPr>
          <w:rFonts w:ascii="Arial" w:eastAsia="Arial" w:hAnsi="Arial" w:cs="Arial"/>
          <w:sz w:val="21"/>
          <w:szCs w:val="21"/>
        </w:rPr>
        <w:t>Copies of Continuum of Care Contract, the Voucher, SMHA Grievance Procedures and Termination Policy</w:t>
      </w:r>
    </w:p>
    <w:p w14:paraId="638A3B8E" w14:textId="77777777" w:rsidR="00795892" w:rsidRPr="0059025E" w:rsidRDefault="00795892" w:rsidP="00795892">
      <w:pPr>
        <w:pStyle w:val="ListParagraph"/>
        <w:numPr>
          <w:ilvl w:val="2"/>
          <w:numId w:val="14"/>
        </w:numPr>
        <w:jc w:val="both"/>
        <w:rPr>
          <w:rFonts w:ascii="Arial" w:eastAsia="Arial" w:hAnsi="Arial" w:cs="Arial"/>
          <w:sz w:val="21"/>
          <w:szCs w:val="21"/>
        </w:rPr>
      </w:pPr>
      <w:r w:rsidRPr="0059025E">
        <w:rPr>
          <w:rFonts w:ascii="Arial" w:eastAsia="Arial" w:hAnsi="Arial" w:cs="Arial"/>
          <w:sz w:val="21"/>
          <w:szCs w:val="21"/>
        </w:rPr>
        <w:t>Consent for Services and Releases of Information</w:t>
      </w:r>
    </w:p>
    <w:p w14:paraId="491BA481" w14:textId="77777777" w:rsidR="00795892" w:rsidRPr="0059025E" w:rsidRDefault="00795892" w:rsidP="00795892">
      <w:pPr>
        <w:pStyle w:val="ListParagraph"/>
        <w:numPr>
          <w:ilvl w:val="2"/>
          <w:numId w:val="14"/>
        </w:numPr>
        <w:jc w:val="both"/>
        <w:rPr>
          <w:rFonts w:ascii="Arial" w:eastAsia="Arial" w:hAnsi="Arial" w:cs="Arial"/>
          <w:sz w:val="21"/>
          <w:szCs w:val="21"/>
        </w:rPr>
      </w:pPr>
      <w:r w:rsidRPr="0059025E">
        <w:rPr>
          <w:rFonts w:ascii="Arial" w:eastAsia="Arial" w:hAnsi="Arial" w:cs="Arial"/>
          <w:sz w:val="21"/>
          <w:szCs w:val="21"/>
        </w:rPr>
        <w:t>Annual Service Plan (updated quarterly)</w:t>
      </w:r>
    </w:p>
    <w:p w14:paraId="4482D49C" w14:textId="77777777" w:rsidR="00795892" w:rsidRPr="0059025E" w:rsidRDefault="00795892" w:rsidP="00795892">
      <w:pPr>
        <w:pStyle w:val="ListParagraph"/>
        <w:numPr>
          <w:ilvl w:val="2"/>
          <w:numId w:val="14"/>
        </w:numPr>
        <w:jc w:val="both"/>
        <w:rPr>
          <w:rFonts w:ascii="Arial" w:eastAsia="Arial" w:hAnsi="Arial" w:cs="Arial"/>
          <w:sz w:val="21"/>
          <w:szCs w:val="21"/>
        </w:rPr>
      </w:pPr>
      <w:r w:rsidRPr="0059025E">
        <w:rPr>
          <w:rFonts w:ascii="Arial" w:eastAsia="Arial" w:hAnsi="Arial" w:cs="Arial"/>
          <w:sz w:val="21"/>
          <w:szCs w:val="21"/>
        </w:rPr>
        <w:t>Service Match Documentation (e.g., doctor’s verifications, transcripts, receipts)</w:t>
      </w:r>
    </w:p>
    <w:p w14:paraId="6A234627"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66472C12" w14:textId="77777777" w:rsidR="00795892" w:rsidRPr="0059025E" w:rsidRDefault="00795892" w:rsidP="00795892">
      <w:pPr>
        <w:pStyle w:val="ListParagraph"/>
        <w:numPr>
          <w:ilvl w:val="1"/>
          <w:numId w:val="14"/>
        </w:numPr>
        <w:jc w:val="both"/>
        <w:rPr>
          <w:rFonts w:ascii="Arial" w:eastAsia="Arial" w:hAnsi="Arial" w:cs="Arial"/>
          <w:sz w:val="21"/>
          <w:szCs w:val="21"/>
        </w:rPr>
      </w:pPr>
      <w:r w:rsidRPr="0059025E">
        <w:rPr>
          <w:rFonts w:ascii="Arial" w:eastAsia="Arial" w:hAnsi="Arial" w:cs="Arial"/>
          <w:sz w:val="21"/>
          <w:szCs w:val="21"/>
        </w:rPr>
        <w:t>Electronic Files and Data</w:t>
      </w:r>
    </w:p>
    <w:p w14:paraId="53728993" w14:textId="77777777" w:rsidR="00795892" w:rsidRPr="0059025E" w:rsidRDefault="00795892" w:rsidP="00795892">
      <w:pPr>
        <w:pStyle w:val="ListParagraph"/>
        <w:numPr>
          <w:ilvl w:val="2"/>
          <w:numId w:val="14"/>
        </w:numPr>
        <w:jc w:val="both"/>
        <w:rPr>
          <w:rFonts w:ascii="Arial" w:eastAsia="Arial" w:hAnsi="Arial" w:cs="Arial"/>
          <w:sz w:val="21"/>
          <w:szCs w:val="21"/>
        </w:rPr>
      </w:pPr>
      <w:r w:rsidRPr="0059025E">
        <w:rPr>
          <w:rFonts w:ascii="Arial" w:eastAsia="Arial" w:hAnsi="Arial" w:cs="Arial"/>
          <w:sz w:val="21"/>
          <w:szCs w:val="21"/>
        </w:rPr>
        <w:t>Enter accurate and timely tenant information into the City’s HMIS (as required by the most recent version of HUD form 40118), as well as progress notes.</w:t>
      </w:r>
    </w:p>
    <w:p w14:paraId="6C14C0D7" w14:textId="77777777" w:rsidR="00795892" w:rsidRPr="0059025E" w:rsidRDefault="00795892" w:rsidP="00795892">
      <w:pPr>
        <w:pStyle w:val="ListParagraph"/>
        <w:numPr>
          <w:ilvl w:val="2"/>
          <w:numId w:val="14"/>
        </w:numPr>
        <w:jc w:val="both"/>
        <w:rPr>
          <w:rFonts w:ascii="Arial" w:eastAsia="Arial" w:hAnsi="Arial" w:cs="Arial"/>
          <w:sz w:val="21"/>
          <w:szCs w:val="21"/>
        </w:rPr>
      </w:pPr>
      <w:r w:rsidRPr="0059025E">
        <w:rPr>
          <w:rFonts w:ascii="Arial" w:eastAsia="Arial" w:hAnsi="Arial" w:cs="Arial"/>
          <w:sz w:val="21"/>
          <w:szCs w:val="21"/>
        </w:rPr>
        <w:t>All HMIS data entry must be maintained on a regular basis and must be complete by the last day of the grant year.</w:t>
      </w:r>
      <w:r>
        <w:rPr>
          <w:rFonts w:ascii="Arial" w:eastAsia="Arial" w:hAnsi="Arial" w:cs="Arial"/>
          <w:sz w:val="21"/>
          <w:szCs w:val="21"/>
        </w:rPr>
        <w:t xml:space="preserve"> </w:t>
      </w:r>
      <w:r w:rsidRPr="0059025E">
        <w:rPr>
          <w:rFonts w:ascii="Arial" w:eastAsia="Arial" w:hAnsi="Arial" w:cs="Arial"/>
          <w:sz w:val="21"/>
          <w:szCs w:val="21"/>
        </w:rPr>
        <w:t>The City of Santa Monica will monitor data entry on a monthly and quarterly basis.</w:t>
      </w:r>
      <w:r>
        <w:rPr>
          <w:rFonts w:ascii="Arial" w:eastAsia="Arial" w:hAnsi="Arial" w:cs="Arial"/>
          <w:sz w:val="21"/>
          <w:szCs w:val="21"/>
        </w:rPr>
        <w:t xml:space="preserve"> </w:t>
      </w:r>
    </w:p>
    <w:p w14:paraId="7336DC48" w14:textId="77777777" w:rsidR="00795892" w:rsidRPr="0059025E" w:rsidRDefault="00795892" w:rsidP="00795892">
      <w:pPr>
        <w:pStyle w:val="ListParagraph"/>
        <w:numPr>
          <w:ilvl w:val="2"/>
          <w:numId w:val="14"/>
        </w:numPr>
        <w:jc w:val="both"/>
        <w:rPr>
          <w:rFonts w:ascii="Arial" w:eastAsia="Arial" w:hAnsi="Arial" w:cs="Arial"/>
          <w:sz w:val="21"/>
          <w:szCs w:val="21"/>
        </w:rPr>
      </w:pPr>
      <w:r w:rsidRPr="0059025E">
        <w:rPr>
          <w:rFonts w:ascii="Arial" w:eastAsia="Arial" w:hAnsi="Arial" w:cs="Arial"/>
          <w:sz w:val="21"/>
          <w:szCs w:val="21"/>
        </w:rPr>
        <w:t xml:space="preserve">Corrective Action Plan if </w:t>
      </w:r>
      <w:proofErr w:type="spellStart"/>
      <w:r w:rsidRPr="0059025E">
        <w:rPr>
          <w:rFonts w:ascii="Arial" w:eastAsia="Arial" w:hAnsi="Arial" w:cs="Arial"/>
          <w:sz w:val="21"/>
          <w:szCs w:val="21"/>
        </w:rPr>
        <w:t>i</w:t>
      </w:r>
      <w:proofErr w:type="spellEnd"/>
      <w:r w:rsidRPr="0059025E">
        <w:rPr>
          <w:rFonts w:ascii="Arial" w:eastAsia="Arial" w:hAnsi="Arial" w:cs="Arial"/>
          <w:sz w:val="21"/>
          <w:szCs w:val="21"/>
        </w:rPr>
        <w:t>. and ii. above are not met.</w:t>
      </w:r>
    </w:p>
    <w:p w14:paraId="1AADB0D1"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146502BE" w14:textId="77777777" w:rsidR="00795892" w:rsidRPr="0059025E" w:rsidRDefault="00795892" w:rsidP="00795892">
      <w:pPr>
        <w:pStyle w:val="ListParagraph"/>
        <w:numPr>
          <w:ilvl w:val="0"/>
          <w:numId w:val="14"/>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 xml:space="preserve">Maintaining data consistent with HUD, Human Services and SMHA grant requirements, including timely entry and provision of data for reporting purposes including: </w:t>
      </w:r>
    </w:p>
    <w:p w14:paraId="0226EB13"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2A14E649" w14:textId="77777777" w:rsidR="00795892" w:rsidRPr="0059025E" w:rsidRDefault="00795892" w:rsidP="00795892">
      <w:pPr>
        <w:pStyle w:val="ListParagraph"/>
        <w:numPr>
          <w:ilvl w:val="0"/>
          <w:numId w:val="13"/>
        </w:numPr>
        <w:jc w:val="both"/>
        <w:rPr>
          <w:rFonts w:ascii="Arial" w:eastAsia="Arial" w:hAnsi="Arial" w:cs="Arial"/>
          <w:sz w:val="21"/>
          <w:szCs w:val="21"/>
        </w:rPr>
      </w:pPr>
      <w:r w:rsidRPr="0059025E">
        <w:rPr>
          <w:rFonts w:ascii="Arial" w:eastAsia="Arial" w:hAnsi="Arial" w:cs="Arial"/>
          <w:sz w:val="21"/>
          <w:szCs w:val="21"/>
        </w:rPr>
        <w:t>Providing SMHA with an Annual Progress Report (APR) from HMIS, including accurate and documented service match figures within 30 days of the end of the grant reporting year.</w:t>
      </w:r>
      <w:r>
        <w:rPr>
          <w:rFonts w:ascii="Arial" w:eastAsia="Arial" w:hAnsi="Arial" w:cs="Arial"/>
          <w:sz w:val="21"/>
          <w:szCs w:val="21"/>
        </w:rPr>
        <w:t xml:space="preserve"> </w:t>
      </w:r>
      <w:r w:rsidRPr="0059025E">
        <w:rPr>
          <w:rFonts w:ascii="Arial" w:eastAsia="Arial" w:hAnsi="Arial" w:cs="Arial"/>
          <w:sz w:val="21"/>
          <w:szCs w:val="21"/>
        </w:rPr>
        <w:t>The grant ends on May 31, 2022, and the APR reports and match reports are due no later than June 30, 2022. Providing SMHA with participant rosters and annual outcomes for the grant listed below within 30 days of the end of the grant reporting year.</w:t>
      </w:r>
      <w:r>
        <w:rPr>
          <w:rFonts w:ascii="Arial" w:eastAsia="Arial" w:hAnsi="Arial" w:cs="Arial"/>
          <w:sz w:val="21"/>
          <w:szCs w:val="21"/>
        </w:rPr>
        <w:t xml:space="preserve"> </w:t>
      </w:r>
      <w:r w:rsidRPr="0059025E">
        <w:rPr>
          <w:rFonts w:ascii="Arial" w:eastAsia="Arial" w:hAnsi="Arial" w:cs="Arial"/>
          <w:sz w:val="21"/>
          <w:szCs w:val="21"/>
        </w:rPr>
        <w:t xml:space="preserve">The grant ends on May 31, 2022, and the annual outcomes for the grant are due no later than June 30, 2022 </w:t>
      </w:r>
    </w:p>
    <w:p w14:paraId="7ED342B4" w14:textId="77777777" w:rsidR="00795892" w:rsidRPr="0059025E" w:rsidRDefault="00795892" w:rsidP="00795892">
      <w:pPr>
        <w:jc w:val="both"/>
        <w:rPr>
          <w:rFonts w:ascii="Arial" w:hAnsi="Arial" w:cs="Arial"/>
        </w:rPr>
      </w:pPr>
      <w:r w:rsidRPr="0059025E">
        <w:rPr>
          <w:rFonts w:ascii="Arial" w:eastAsia="Arial" w:hAnsi="Arial" w:cs="Arial"/>
          <w:sz w:val="24"/>
        </w:rPr>
        <w:lastRenderedPageBreak/>
        <w:t xml:space="preserve"> </w:t>
      </w:r>
    </w:p>
    <w:p w14:paraId="09B2EF7A" w14:textId="77777777" w:rsidR="00795892" w:rsidRPr="0059025E" w:rsidRDefault="00795892" w:rsidP="00795892">
      <w:pPr>
        <w:pStyle w:val="ListParagraph"/>
        <w:numPr>
          <w:ilvl w:val="0"/>
          <w:numId w:val="14"/>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Attending all Chronic Homeless Program (CHP) monthly case managers’ meetings as scheduled by Housing &amp; Human Services Division (HHSD).</w:t>
      </w:r>
    </w:p>
    <w:p w14:paraId="3099C701" w14:textId="77777777" w:rsidR="00795892" w:rsidRPr="0059025E" w:rsidRDefault="00795892" w:rsidP="00795892">
      <w:pPr>
        <w:jc w:val="both"/>
        <w:rPr>
          <w:rFonts w:ascii="Arial" w:hAnsi="Arial" w:cs="Arial"/>
        </w:rPr>
      </w:pPr>
      <w:r w:rsidRPr="0059025E">
        <w:rPr>
          <w:rFonts w:ascii="Arial" w:eastAsia="Arial" w:hAnsi="Arial" w:cs="Arial"/>
          <w:color w:val="000000" w:themeColor="text1"/>
          <w:sz w:val="24"/>
        </w:rPr>
        <w:t xml:space="preserve"> </w:t>
      </w:r>
    </w:p>
    <w:p w14:paraId="1674473C" w14:textId="77777777" w:rsidR="00795892" w:rsidRPr="0059025E" w:rsidRDefault="00795892" w:rsidP="00795892">
      <w:pPr>
        <w:pStyle w:val="ListParagraph"/>
        <w:numPr>
          <w:ilvl w:val="0"/>
          <w:numId w:val="14"/>
        </w:numPr>
        <w:jc w:val="both"/>
        <w:rPr>
          <w:rFonts w:ascii="Arial" w:eastAsia="Arial" w:hAnsi="Arial" w:cs="Arial"/>
          <w:sz w:val="21"/>
          <w:szCs w:val="21"/>
        </w:rPr>
      </w:pPr>
      <w:r w:rsidRPr="0059025E">
        <w:rPr>
          <w:rFonts w:ascii="Arial" w:eastAsia="Arial" w:hAnsi="Arial" w:cs="Arial"/>
          <w:color w:val="000000" w:themeColor="text1"/>
          <w:sz w:val="21"/>
          <w:szCs w:val="21"/>
        </w:rPr>
        <w:t>Informing SMHA of any personnel or program issues, including but not limited to, extended staff illness, injury, terminations, or staff resignations that may negatively affect the ability of the grantee to fulfill its Continuum of Care funding conditions as defined in this contract.</w:t>
      </w:r>
      <w:r w:rsidRPr="0059025E">
        <w:rPr>
          <w:rFonts w:ascii="Arial" w:eastAsia="Arial" w:hAnsi="Arial" w:cs="Arial"/>
          <w:sz w:val="21"/>
          <w:szCs w:val="21"/>
        </w:rPr>
        <w:t xml:space="preserve"> </w:t>
      </w:r>
    </w:p>
    <w:p w14:paraId="05DD826C" w14:textId="77777777" w:rsidR="00795892" w:rsidRPr="0059025E" w:rsidRDefault="00795892" w:rsidP="00795892">
      <w:pPr>
        <w:jc w:val="both"/>
        <w:rPr>
          <w:rFonts w:ascii="Arial" w:hAnsi="Arial" w:cs="Arial"/>
        </w:rPr>
      </w:pPr>
      <w:r w:rsidRPr="0059025E">
        <w:rPr>
          <w:rFonts w:ascii="Arial" w:eastAsia="Arial" w:hAnsi="Arial" w:cs="Arial"/>
          <w:sz w:val="24"/>
        </w:rPr>
        <w:t xml:space="preserve"> </w:t>
      </w:r>
    </w:p>
    <w:p w14:paraId="1DE11080" w14:textId="77777777" w:rsidR="00795892" w:rsidRPr="00C6363D" w:rsidRDefault="00795892" w:rsidP="00795892">
      <w:pPr>
        <w:pStyle w:val="ListParagraph"/>
        <w:numPr>
          <w:ilvl w:val="1"/>
          <w:numId w:val="14"/>
        </w:numPr>
        <w:jc w:val="both"/>
        <w:rPr>
          <w:rFonts w:ascii="Arial" w:eastAsia="Arial" w:hAnsi="Arial" w:cs="Arial"/>
          <w:sz w:val="21"/>
          <w:szCs w:val="21"/>
        </w:rPr>
      </w:pPr>
      <w:r w:rsidRPr="0059025E">
        <w:rPr>
          <w:rFonts w:ascii="Arial" w:eastAsia="Arial" w:hAnsi="Arial" w:cs="Arial"/>
          <w:sz w:val="21"/>
          <w:szCs w:val="21"/>
        </w:rPr>
        <w:t xml:space="preserve">When a case manager is assigned or re-assigned to a Continuum of Care participant, the Agency must inform SMHA in writing within 10 working days. </w:t>
      </w:r>
      <w:r w:rsidRPr="00C6363D">
        <w:rPr>
          <w:rFonts w:ascii="Arial" w:eastAsia="Arial" w:hAnsi="Arial" w:cs="Arial"/>
          <w:sz w:val="21"/>
          <w:szCs w:val="21"/>
        </w:rPr>
        <w:t xml:space="preserve">If a property owner informs the agency that he/she plans to evict a participating tenant, that the participating tenant is violating lease agreement, or that for any other reason tenant’s housing might be affected the agency must inform the SMHA within 10 working days </w:t>
      </w:r>
    </w:p>
    <w:p w14:paraId="5E42B8DE" w14:textId="77777777" w:rsidR="00795892" w:rsidRPr="0059025E" w:rsidRDefault="00795892" w:rsidP="00795892">
      <w:pPr>
        <w:jc w:val="both"/>
        <w:rPr>
          <w:rFonts w:ascii="Arial" w:eastAsia="Arial" w:hAnsi="Arial" w:cs="Arial"/>
          <w:sz w:val="21"/>
          <w:szCs w:val="21"/>
        </w:rPr>
      </w:pPr>
    </w:p>
    <w:p w14:paraId="40BB0998" w14:textId="77777777" w:rsidR="00795892" w:rsidRPr="0059025E" w:rsidRDefault="00795892" w:rsidP="00795892">
      <w:pPr>
        <w:pStyle w:val="ListParagraph"/>
        <w:numPr>
          <w:ilvl w:val="0"/>
          <w:numId w:val="10"/>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SJC will enter and manage participant level data in an HMIS database on a regular basis as outlined in the agency’s data management policy. Information will be entered into HMIS no later than 10 business days after the information being provided to their Case Manager.</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 xml:space="preserve"> </w:t>
      </w:r>
    </w:p>
    <w:p w14:paraId="626BEA1A" w14:textId="77777777" w:rsidR="00795892" w:rsidRPr="0059025E" w:rsidRDefault="00795892" w:rsidP="00795892">
      <w:pPr>
        <w:pStyle w:val="ListParagraph"/>
        <w:numPr>
          <w:ilvl w:val="0"/>
          <w:numId w:val="10"/>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SJC will also maintain a participant file for household in the program.</w:t>
      </w:r>
      <w:r>
        <w:rPr>
          <w:rFonts w:ascii="Arial" w:eastAsia="Arial" w:hAnsi="Arial" w:cs="Arial"/>
          <w:color w:val="000000" w:themeColor="text1"/>
          <w:sz w:val="21"/>
          <w:szCs w:val="21"/>
        </w:rPr>
        <w:t xml:space="preserve"> </w:t>
      </w:r>
      <w:r w:rsidRPr="0059025E">
        <w:rPr>
          <w:rFonts w:ascii="Arial" w:eastAsia="Arial" w:hAnsi="Arial" w:cs="Arial"/>
          <w:color w:val="000000" w:themeColor="text1"/>
          <w:sz w:val="21"/>
          <w:szCs w:val="21"/>
        </w:rPr>
        <w:t>Information maintained in the file will include progress notes, core demographic information, paperwork submitted such as income verification, housing plans, applications, and any other hardcopies, as well as housing packets.</w:t>
      </w:r>
      <w:r>
        <w:rPr>
          <w:rFonts w:ascii="Arial" w:eastAsia="Arial" w:hAnsi="Arial" w:cs="Arial"/>
          <w:color w:val="000000" w:themeColor="text1"/>
          <w:sz w:val="21"/>
          <w:szCs w:val="21"/>
        </w:rPr>
        <w:t xml:space="preserve"> </w:t>
      </w:r>
    </w:p>
    <w:p w14:paraId="6100D823" w14:textId="77777777" w:rsidR="00795892" w:rsidRPr="0059025E" w:rsidRDefault="00795892" w:rsidP="00795892">
      <w:pPr>
        <w:pStyle w:val="ListParagraph"/>
        <w:numPr>
          <w:ilvl w:val="0"/>
          <w:numId w:val="10"/>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Data maintained will be used to complete the APR and CAPER for the CDBG funded project no later than 30 days after the end of the grant reporting year. SJC will work with the City to provide all necessary information to complete the required service match, fiscal expenditure reports and annual outcomes reporting to complete by the stated deadline in Exhibit A-1.</w:t>
      </w:r>
      <w:r>
        <w:rPr>
          <w:rFonts w:ascii="Arial" w:eastAsia="Arial" w:hAnsi="Arial" w:cs="Arial"/>
          <w:color w:val="000000" w:themeColor="text1"/>
          <w:sz w:val="21"/>
          <w:szCs w:val="21"/>
        </w:rPr>
        <w:t xml:space="preserve"> </w:t>
      </w:r>
    </w:p>
    <w:p w14:paraId="787097BE" w14:textId="77777777" w:rsidR="00795892" w:rsidRPr="0059025E" w:rsidRDefault="00795892" w:rsidP="00795892">
      <w:pPr>
        <w:pStyle w:val="ListParagraph"/>
        <w:numPr>
          <w:ilvl w:val="0"/>
          <w:numId w:val="10"/>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SJC participates and attends all meetings as scheduled by the City.</w:t>
      </w:r>
      <w:r>
        <w:rPr>
          <w:rFonts w:ascii="Arial" w:eastAsia="Arial" w:hAnsi="Arial" w:cs="Arial"/>
          <w:color w:val="000000" w:themeColor="text1"/>
          <w:sz w:val="21"/>
          <w:szCs w:val="21"/>
        </w:rPr>
        <w:t xml:space="preserve"> </w:t>
      </w:r>
    </w:p>
    <w:p w14:paraId="127A5CD8" w14:textId="77777777" w:rsidR="00795892" w:rsidRPr="0059025E" w:rsidRDefault="00795892" w:rsidP="00795892">
      <w:pPr>
        <w:pStyle w:val="ListParagraph"/>
        <w:numPr>
          <w:ilvl w:val="0"/>
          <w:numId w:val="10"/>
        </w:numPr>
        <w:jc w:val="both"/>
        <w:rPr>
          <w:rFonts w:ascii="Arial" w:eastAsia="Arial" w:hAnsi="Arial" w:cs="Arial"/>
          <w:color w:val="000000" w:themeColor="text1"/>
          <w:sz w:val="21"/>
          <w:szCs w:val="21"/>
        </w:rPr>
      </w:pPr>
      <w:r w:rsidRPr="0059025E">
        <w:rPr>
          <w:rFonts w:ascii="Arial" w:eastAsia="Arial" w:hAnsi="Arial" w:cs="Arial"/>
          <w:color w:val="000000" w:themeColor="text1"/>
          <w:sz w:val="21"/>
          <w:szCs w:val="21"/>
        </w:rPr>
        <w:t>SJC continues to communicate and informs the City of any personnel or program issues such as vacancies, extended staff illnesses or injuries, terminations, or staff resignations that may negatively affect the ability to meet all the conditions and outcomes of the contract.</w:t>
      </w:r>
    </w:p>
    <w:p w14:paraId="2AFCD195" w14:textId="354EA245" w:rsidR="00795892" w:rsidRPr="0059025E" w:rsidRDefault="00795892" w:rsidP="00795892">
      <w:pPr>
        <w:jc w:val="both"/>
        <w:rPr>
          <w:rFonts w:ascii="Arial" w:hAnsi="Arial" w:cs="Arial"/>
        </w:rPr>
      </w:pPr>
    </w:p>
    <w:p w14:paraId="6DD96D20" w14:textId="77777777" w:rsidR="00B517F5" w:rsidRPr="00FD11B9" w:rsidRDefault="00B517F5" w:rsidP="00B517F5">
      <w:pPr>
        <w:jc w:val="both"/>
        <w:rPr>
          <w:rFonts w:ascii="Arial" w:hAnsi="Arial"/>
          <w:sz w:val="22"/>
          <w:szCs w:val="22"/>
        </w:rPr>
      </w:pPr>
      <w:r w:rsidRPr="00FD11B9">
        <w:rPr>
          <w:rFonts w:ascii="Arial" w:hAnsi="Arial" w:hint="eastAsia"/>
          <w:b/>
          <w:sz w:val="22"/>
          <w:szCs w:val="22"/>
          <w:u w:val="single"/>
        </w:rPr>
        <w:t xml:space="preserve">SECTION </w:t>
      </w:r>
      <w:r>
        <w:rPr>
          <w:rFonts w:ascii="Arial" w:hAnsi="Arial"/>
          <w:b/>
          <w:sz w:val="22"/>
          <w:szCs w:val="22"/>
          <w:u w:val="single"/>
        </w:rPr>
        <w:t>V</w:t>
      </w:r>
      <w:r w:rsidRPr="00FD11B9">
        <w:rPr>
          <w:rFonts w:ascii="Arial" w:hAnsi="Arial" w:hint="eastAsia"/>
          <w:b/>
          <w:sz w:val="22"/>
          <w:szCs w:val="22"/>
          <w:u w:val="single"/>
        </w:rPr>
        <w:t xml:space="preserve">I:  </w:t>
      </w:r>
      <w:r>
        <w:rPr>
          <w:rFonts w:ascii="Arial" w:hAnsi="Arial"/>
          <w:b/>
          <w:sz w:val="22"/>
          <w:szCs w:val="22"/>
          <w:u w:val="single"/>
        </w:rPr>
        <w:t>SERVICE NEEDS AND REFERRALS</w:t>
      </w:r>
    </w:p>
    <w:p w14:paraId="493C4522" w14:textId="77777777" w:rsidR="00B517F5" w:rsidRPr="0062632F" w:rsidRDefault="00B517F5" w:rsidP="00B517F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0442AC69" w14:textId="77777777" w:rsidR="00B517F5" w:rsidRDefault="00B517F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B517F5" w14:paraId="51029BFE" w14:textId="77777777" w:rsidTr="00A565D0">
        <w:trPr>
          <w:trHeight w:val="460"/>
          <w:jc w:val="center"/>
        </w:trPr>
        <w:tc>
          <w:tcPr>
            <w:tcW w:w="5949" w:type="dxa"/>
            <w:shd w:val="clear" w:color="auto" w:fill="D9D9D9" w:themeFill="background1" w:themeFillShade="D9"/>
            <w:vAlign w:val="center"/>
          </w:tcPr>
          <w:p w14:paraId="0CDCDED0" w14:textId="77777777" w:rsidR="00B517F5" w:rsidRDefault="00B517F5" w:rsidP="00A565D0">
            <w:pPr>
              <w:jc w:val="center"/>
              <w:rPr>
                <w:rFonts w:ascii="Arial" w:hAnsi="Arial"/>
                <w:b/>
                <w:sz w:val="21"/>
              </w:rPr>
            </w:pPr>
            <w:r>
              <w:rPr>
                <w:rFonts w:ascii="Arial" w:hAnsi="Arial"/>
                <w:b/>
                <w:sz w:val="21"/>
              </w:rPr>
              <w:t>ASSESSMENT OF ADDITIONAL SERVICE NEEDS</w:t>
            </w:r>
          </w:p>
          <w:p w14:paraId="105C7A8D" w14:textId="77777777" w:rsidR="00B517F5" w:rsidRPr="002D29CC" w:rsidRDefault="00B517F5" w:rsidP="00A565D0">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46D63469" w14:textId="77777777" w:rsidR="00B517F5" w:rsidRPr="00C201E7" w:rsidRDefault="00B517F5" w:rsidP="00A565D0">
            <w:pPr>
              <w:jc w:val="center"/>
              <w:rPr>
                <w:rFonts w:ascii="Arial" w:hAnsi="Arial"/>
                <w:b/>
                <w:sz w:val="21"/>
                <w:szCs w:val="21"/>
              </w:rPr>
            </w:pPr>
            <w:r>
              <w:rPr>
                <w:rFonts w:ascii="Arial" w:hAnsi="Arial"/>
                <w:b/>
                <w:sz w:val="21"/>
                <w:szCs w:val="21"/>
              </w:rPr>
              <w:t>FY 2022-23</w:t>
            </w:r>
          </w:p>
          <w:p w14:paraId="22A57B09" w14:textId="77777777" w:rsidR="00B517F5" w:rsidRPr="00C201E7" w:rsidRDefault="00B517F5" w:rsidP="00A565D0">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416DC869" w14:textId="77777777" w:rsidR="00B517F5" w:rsidRPr="00C201E7" w:rsidRDefault="00B517F5" w:rsidP="00A565D0">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2BAE2A34" w14:textId="77777777" w:rsidR="00B517F5" w:rsidRPr="00C201E7" w:rsidRDefault="00B517F5" w:rsidP="00A565D0">
            <w:pPr>
              <w:jc w:val="center"/>
              <w:rPr>
                <w:rFonts w:ascii="Arial" w:hAnsi="Arial"/>
                <w:b/>
                <w:sz w:val="21"/>
                <w:szCs w:val="21"/>
              </w:rPr>
            </w:pPr>
            <w:r>
              <w:rPr>
                <w:rFonts w:ascii="Arial" w:hAnsi="Arial"/>
                <w:b/>
                <w:sz w:val="21"/>
                <w:szCs w:val="21"/>
              </w:rPr>
              <w:t>FY 2022-23</w:t>
            </w:r>
          </w:p>
          <w:p w14:paraId="5395E05C" w14:textId="77777777" w:rsidR="00B517F5" w:rsidRPr="00C201E7" w:rsidRDefault="00B517F5" w:rsidP="00A565D0">
            <w:pPr>
              <w:jc w:val="center"/>
              <w:rPr>
                <w:rFonts w:ascii="Arial" w:hAnsi="Arial"/>
                <w:b/>
                <w:sz w:val="21"/>
              </w:rPr>
            </w:pPr>
            <w:r>
              <w:rPr>
                <w:rFonts w:ascii="Arial" w:hAnsi="Arial"/>
                <w:b/>
                <w:sz w:val="21"/>
              </w:rPr>
              <w:t>Number Responding “Yes”</w:t>
            </w:r>
          </w:p>
          <w:p w14:paraId="37CD1099" w14:textId="77777777" w:rsidR="00B517F5" w:rsidRPr="00C201E7" w:rsidRDefault="00B517F5" w:rsidP="00A565D0">
            <w:pPr>
              <w:jc w:val="center"/>
              <w:rPr>
                <w:rFonts w:ascii="Arial" w:hAnsi="Arial"/>
                <w:b/>
                <w:sz w:val="21"/>
              </w:rPr>
            </w:pPr>
            <w:r>
              <w:rPr>
                <w:rFonts w:ascii="Arial" w:hAnsi="Arial"/>
                <w:b/>
                <w:sz w:val="21"/>
              </w:rPr>
              <w:t>at Year-e</w:t>
            </w:r>
            <w:r w:rsidRPr="00C201E7">
              <w:rPr>
                <w:rFonts w:ascii="Arial" w:hAnsi="Arial"/>
                <w:b/>
                <w:sz w:val="21"/>
              </w:rPr>
              <w:t>nd</w:t>
            </w:r>
          </w:p>
        </w:tc>
      </w:tr>
      <w:tr w:rsidR="00B517F5" w14:paraId="2637731F" w14:textId="77777777" w:rsidTr="00A565D0">
        <w:trPr>
          <w:trHeight w:val="460"/>
          <w:jc w:val="center"/>
        </w:trPr>
        <w:tc>
          <w:tcPr>
            <w:tcW w:w="5949" w:type="dxa"/>
            <w:vAlign w:val="center"/>
          </w:tcPr>
          <w:p w14:paraId="6C273404" w14:textId="77777777" w:rsidR="00B517F5" w:rsidRDefault="00B517F5" w:rsidP="00A565D0">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37036801" w14:textId="77777777" w:rsidR="00B517F5" w:rsidRDefault="00B517F5" w:rsidP="009A43A5">
            <w:pPr>
              <w:jc w:val="center"/>
              <w:rPr>
                <w:rFonts w:ascii="Arial" w:hAnsi="Arial"/>
                <w:sz w:val="21"/>
              </w:rPr>
            </w:pPr>
            <w:r>
              <w:rPr>
                <w:rFonts w:ascii="Arial" w:hAnsi="Arial"/>
                <w:sz w:val="21"/>
              </w:rPr>
              <w:t>23</w:t>
            </w:r>
          </w:p>
        </w:tc>
        <w:tc>
          <w:tcPr>
            <w:tcW w:w="1911" w:type="dxa"/>
            <w:vAlign w:val="center"/>
          </w:tcPr>
          <w:p w14:paraId="18B9AD3B" w14:textId="26CEB11D" w:rsidR="00B517F5" w:rsidRDefault="00C22272" w:rsidP="009A43A5">
            <w:pPr>
              <w:jc w:val="center"/>
              <w:rPr>
                <w:rFonts w:ascii="Arial" w:hAnsi="Arial"/>
                <w:sz w:val="21"/>
                <w:szCs w:val="21"/>
              </w:rPr>
            </w:pPr>
            <w:r>
              <w:rPr>
                <w:rFonts w:ascii="Arial" w:hAnsi="Arial"/>
                <w:sz w:val="21"/>
                <w:szCs w:val="21"/>
              </w:rPr>
              <w:t>44</w:t>
            </w:r>
          </w:p>
        </w:tc>
      </w:tr>
      <w:tr w:rsidR="00B517F5" w14:paraId="27EA66D4" w14:textId="77777777" w:rsidTr="00AA3A18">
        <w:trPr>
          <w:trHeight w:val="460"/>
          <w:jc w:val="center"/>
        </w:trPr>
        <w:tc>
          <w:tcPr>
            <w:tcW w:w="5949" w:type="dxa"/>
            <w:tcBorders>
              <w:bottom w:val="single" w:sz="4" w:space="0" w:color="auto"/>
            </w:tcBorders>
            <w:vAlign w:val="center"/>
          </w:tcPr>
          <w:p w14:paraId="38483910" w14:textId="77777777" w:rsidR="00B517F5" w:rsidRDefault="00B517F5" w:rsidP="00A565D0">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tcBorders>
              <w:bottom w:val="single" w:sz="4" w:space="0" w:color="auto"/>
            </w:tcBorders>
            <w:vAlign w:val="center"/>
          </w:tcPr>
          <w:p w14:paraId="45C1FB9F" w14:textId="77777777" w:rsidR="00B517F5" w:rsidRDefault="00B517F5" w:rsidP="009A43A5">
            <w:pPr>
              <w:jc w:val="center"/>
              <w:rPr>
                <w:rFonts w:ascii="Arial" w:hAnsi="Arial"/>
                <w:sz w:val="21"/>
              </w:rPr>
            </w:pPr>
            <w:r>
              <w:rPr>
                <w:rFonts w:ascii="Arial" w:hAnsi="Arial"/>
                <w:sz w:val="21"/>
              </w:rPr>
              <w:t>47</w:t>
            </w:r>
          </w:p>
        </w:tc>
        <w:tc>
          <w:tcPr>
            <w:tcW w:w="1911" w:type="dxa"/>
            <w:tcBorders>
              <w:bottom w:val="single" w:sz="4" w:space="0" w:color="auto"/>
            </w:tcBorders>
            <w:vAlign w:val="center"/>
          </w:tcPr>
          <w:p w14:paraId="3DDED050" w14:textId="77777777" w:rsidR="00B517F5" w:rsidRDefault="00B517F5" w:rsidP="009A43A5">
            <w:pPr>
              <w:jc w:val="center"/>
              <w:rPr>
                <w:rFonts w:ascii="Arial" w:hAnsi="Arial"/>
                <w:sz w:val="21"/>
                <w:szCs w:val="21"/>
              </w:rPr>
            </w:pPr>
            <w:r w:rsidRPr="65033BF9">
              <w:rPr>
                <w:rFonts w:ascii="Arial" w:hAnsi="Arial"/>
                <w:sz w:val="21"/>
                <w:szCs w:val="21"/>
              </w:rPr>
              <w:t>59</w:t>
            </w:r>
          </w:p>
        </w:tc>
      </w:tr>
      <w:tr w:rsidR="00B517F5" w14:paraId="77D86AEA" w14:textId="77777777" w:rsidTr="00AA3A18">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66779DB8" w14:textId="77777777" w:rsidR="00B517F5" w:rsidRPr="004E7CC1" w:rsidRDefault="00B517F5" w:rsidP="00A565D0">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EA795B" w14:textId="77777777" w:rsidR="00B517F5" w:rsidRDefault="00B517F5" w:rsidP="009A43A5">
            <w:pPr>
              <w:jc w:val="cente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5F3E65E8" w14:textId="77777777" w:rsidR="00B517F5" w:rsidRDefault="00B517F5" w:rsidP="009A43A5">
            <w:pPr>
              <w:jc w:val="center"/>
              <w:rPr>
                <w:rFonts w:ascii="Arial" w:hAnsi="Arial"/>
                <w:sz w:val="21"/>
                <w:szCs w:val="21"/>
              </w:rPr>
            </w:pPr>
            <w:r w:rsidRPr="65033BF9">
              <w:rPr>
                <w:rFonts w:ascii="Arial" w:hAnsi="Arial"/>
                <w:sz w:val="21"/>
                <w:szCs w:val="21"/>
              </w:rPr>
              <w:t>0</w:t>
            </w:r>
          </w:p>
        </w:tc>
      </w:tr>
      <w:tr w:rsidR="00AA3A18" w14:paraId="7C188D9E" w14:textId="77777777" w:rsidTr="00AA3A18">
        <w:trPr>
          <w:trHeight w:val="460"/>
          <w:jc w:val="center"/>
        </w:trPr>
        <w:tc>
          <w:tcPr>
            <w:tcW w:w="9750" w:type="dxa"/>
            <w:gridSpan w:val="3"/>
            <w:tcBorders>
              <w:top w:val="single" w:sz="4" w:space="0" w:color="auto"/>
              <w:left w:val="nil"/>
              <w:bottom w:val="single" w:sz="4" w:space="0" w:color="auto"/>
              <w:right w:val="nil"/>
            </w:tcBorders>
            <w:vAlign w:val="center"/>
          </w:tcPr>
          <w:p w14:paraId="47149803" w14:textId="77777777" w:rsidR="00AA3A18" w:rsidRPr="65033BF9" w:rsidRDefault="00AA3A18" w:rsidP="009A43A5">
            <w:pPr>
              <w:jc w:val="center"/>
              <w:rPr>
                <w:rFonts w:ascii="Arial" w:hAnsi="Arial"/>
                <w:sz w:val="21"/>
                <w:szCs w:val="21"/>
              </w:rPr>
            </w:pPr>
          </w:p>
        </w:tc>
      </w:tr>
      <w:tr w:rsidR="00B517F5" w14:paraId="134E3E33" w14:textId="77777777" w:rsidTr="00AA3A18">
        <w:trPr>
          <w:trHeight w:val="460"/>
          <w:jc w:val="center"/>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D84F4" w14:textId="77777777" w:rsidR="00B517F5" w:rsidRPr="00B517F5" w:rsidRDefault="00B517F5" w:rsidP="00B517F5">
            <w:pPr>
              <w:tabs>
                <w:tab w:val="num" w:pos="360"/>
              </w:tabs>
              <w:ind w:left="381" w:hanging="360"/>
              <w:rPr>
                <w:rFonts w:ascii="Arial" w:hAnsi="Arial"/>
                <w:sz w:val="21"/>
              </w:rPr>
            </w:pPr>
            <w:r w:rsidRPr="00B517F5">
              <w:rPr>
                <w:rFonts w:ascii="Arial" w:hAnsi="Arial"/>
                <w:sz w:val="21"/>
              </w:rPr>
              <w:t>INCOMING PARTICIPANT REFERRALS</w:t>
            </w:r>
          </w:p>
          <w:p w14:paraId="46727B07" w14:textId="77777777" w:rsidR="00B517F5" w:rsidRPr="00B517F5" w:rsidRDefault="00B517F5" w:rsidP="00B517F5">
            <w:pPr>
              <w:tabs>
                <w:tab w:val="num" w:pos="360"/>
              </w:tabs>
              <w:ind w:left="381" w:hanging="360"/>
              <w:rPr>
                <w:rFonts w:ascii="Arial" w:hAnsi="Arial"/>
                <w:sz w:val="21"/>
              </w:rPr>
            </w:pPr>
            <w:r w:rsidRPr="00B517F5">
              <w:rPr>
                <w:rFonts w:ascii="Arial" w:hAnsi="Arial"/>
                <w:sz w:val="21"/>
              </w:rPr>
              <w:t xml:space="preserve"> (Santa Monica Participants)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69515" w14:textId="77777777" w:rsidR="00B517F5" w:rsidRPr="00B517F5" w:rsidRDefault="00B517F5" w:rsidP="00B517F5">
            <w:pPr>
              <w:rPr>
                <w:rFonts w:ascii="Arial" w:hAnsi="Arial"/>
                <w:sz w:val="21"/>
              </w:rPr>
            </w:pPr>
            <w:r w:rsidRPr="00B517F5">
              <w:rPr>
                <w:rFonts w:ascii="Arial" w:hAnsi="Arial"/>
                <w:sz w:val="21"/>
              </w:rPr>
              <w:t>FY 2022-23</w:t>
            </w:r>
          </w:p>
          <w:p w14:paraId="18F222CB" w14:textId="77777777" w:rsidR="00B517F5" w:rsidRPr="00B517F5" w:rsidRDefault="00B517F5" w:rsidP="00B517F5">
            <w:pPr>
              <w:rPr>
                <w:rFonts w:ascii="Arial" w:hAnsi="Arial"/>
                <w:sz w:val="21"/>
              </w:rPr>
            </w:pPr>
            <w:r w:rsidRPr="00B517F5">
              <w:rPr>
                <w:rFonts w:ascii="Arial" w:hAnsi="Arial"/>
                <w:sz w:val="21"/>
              </w:rPr>
              <w:t>Number</w:t>
            </w:r>
          </w:p>
          <w:p w14:paraId="1C2D8942" w14:textId="77777777" w:rsidR="00B517F5" w:rsidRPr="00B517F5" w:rsidRDefault="00B517F5" w:rsidP="00B517F5">
            <w:pPr>
              <w:rPr>
                <w:rFonts w:ascii="Arial" w:hAnsi="Arial"/>
                <w:sz w:val="21"/>
              </w:rPr>
            </w:pPr>
            <w:r w:rsidRPr="00B517F5">
              <w:rPr>
                <w:rFonts w:ascii="Arial" w:hAnsi="Arial"/>
                <w:sz w:val="21"/>
              </w:rPr>
              <w:t>at Mid-year</w:t>
            </w:r>
          </w:p>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775B5" w14:textId="77777777" w:rsidR="00B517F5" w:rsidRPr="00B517F5" w:rsidRDefault="00B517F5" w:rsidP="00B517F5">
            <w:pPr>
              <w:rPr>
                <w:rFonts w:ascii="Arial" w:hAnsi="Arial"/>
                <w:sz w:val="21"/>
                <w:szCs w:val="21"/>
              </w:rPr>
            </w:pPr>
            <w:r w:rsidRPr="00B517F5">
              <w:rPr>
                <w:rFonts w:ascii="Arial" w:hAnsi="Arial"/>
                <w:sz w:val="21"/>
                <w:szCs w:val="21"/>
              </w:rPr>
              <w:t>FY 2022-23</w:t>
            </w:r>
          </w:p>
          <w:p w14:paraId="456B543B" w14:textId="77777777" w:rsidR="00B517F5" w:rsidRPr="00B517F5" w:rsidRDefault="00B517F5" w:rsidP="00B517F5">
            <w:pPr>
              <w:rPr>
                <w:rFonts w:ascii="Arial" w:hAnsi="Arial"/>
                <w:sz w:val="21"/>
                <w:szCs w:val="21"/>
              </w:rPr>
            </w:pPr>
            <w:r w:rsidRPr="00B517F5">
              <w:rPr>
                <w:rFonts w:ascii="Arial" w:hAnsi="Arial"/>
                <w:sz w:val="21"/>
                <w:szCs w:val="21"/>
              </w:rPr>
              <w:t>Number</w:t>
            </w:r>
          </w:p>
          <w:p w14:paraId="418B2D1B" w14:textId="77777777" w:rsidR="00B517F5" w:rsidRPr="00B517F5" w:rsidRDefault="00B517F5" w:rsidP="00B517F5">
            <w:pPr>
              <w:rPr>
                <w:rFonts w:ascii="Arial" w:hAnsi="Arial"/>
                <w:sz w:val="21"/>
                <w:szCs w:val="21"/>
              </w:rPr>
            </w:pPr>
            <w:r w:rsidRPr="00B517F5">
              <w:rPr>
                <w:rFonts w:ascii="Arial" w:hAnsi="Arial"/>
                <w:sz w:val="21"/>
                <w:szCs w:val="21"/>
              </w:rPr>
              <w:t>at Year-end</w:t>
            </w:r>
          </w:p>
        </w:tc>
      </w:tr>
      <w:tr w:rsidR="00B517F5" w14:paraId="6E653201" w14:textId="77777777" w:rsidTr="00B517F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3BB4F8C1" w14:textId="77777777" w:rsidR="00B517F5" w:rsidRPr="00745CBD" w:rsidRDefault="00B517F5" w:rsidP="00B517F5">
            <w:pPr>
              <w:tabs>
                <w:tab w:val="num" w:pos="360"/>
              </w:tabs>
              <w:ind w:left="381" w:hanging="360"/>
              <w:rPr>
                <w:rFonts w:ascii="Arial" w:hAnsi="Arial"/>
                <w:sz w:val="21"/>
              </w:rPr>
            </w:pPr>
            <w:r>
              <w:rPr>
                <w:rFonts w:ascii="Arial" w:hAnsi="Arial"/>
                <w:sz w:val="21"/>
              </w:rPr>
              <w:t>Participants referred by another agency</w:t>
            </w:r>
          </w:p>
        </w:tc>
        <w:tc>
          <w:tcPr>
            <w:tcW w:w="1890" w:type="dxa"/>
            <w:tcBorders>
              <w:top w:val="single" w:sz="4" w:space="0" w:color="auto"/>
              <w:left w:val="single" w:sz="4" w:space="0" w:color="auto"/>
              <w:bottom w:val="single" w:sz="4" w:space="0" w:color="auto"/>
              <w:right w:val="single" w:sz="4" w:space="0" w:color="auto"/>
            </w:tcBorders>
            <w:vAlign w:val="center"/>
          </w:tcPr>
          <w:p w14:paraId="28B7CFDE" w14:textId="3B5779A2" w:rsidR="00B517F5" w:rsidRDefault="00B517F5" w:rsidP="009A43A5">
            <w:pPr>
              <w:jc w:val="center"/>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vAlign w:val="center"/>
          </w:tcPr>
          <w:p w14:paraId="2EAE43A1" w14:textId="25E21DDC" w:rsidR="00B517F5" w:rsidRPr="00B517F5" w:rsidRDefault="00B517F5" w:rsidP="009A43A5">
            <w:pPr>
              <w:jc w:val="center"/>
              <w:rPr>
                <w:rFonts w:ascii="Arial" w:hAnsi="Arial"/>
                <w:sz w:val="21"/>
                <w:szCs w:val="21"/>
              </w:rPr>
            </w:pPr>
          </w:p>
        </w:tc>
      </w:tr>
      <w:tr w:rsidR="00B517F5" w14:paraId="66A4D809" w14:textId="77777777" w:rsidTr="00B517F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3B3C4B3F" w14:textId="77777777" w:rsidR="00B517F5" w:rsidRPr="00B517F5" w:rsidRDefault="00B517F5" w:rsidP="00B517F5">
            <w:pPr>
              <w:tabs>
                <w:tab w:val="num" w:pos="360"/>
              </w:tabs>
              <w:ind w:left="381" w:hanging="360"/>
              <w:rPr>
                <w:rFonts w:ascii="Arial" w:hAnsi="Arial"/>
                <w:sz w:val="21"/>
              </w:rPr>
            </w:pPr>
            <w:r w:rsidRPr="00B517F5">
              <w:rPr>
                <w:rFonts w:ascii="Arial" w:hAnsi="Arial"/>
                <w:sz w:val="21"/>
              </w:rPr>
              <w:t xml:space="preserve">  Please list the top 3 referring agencies</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F8588" w14:textId="77777777" w:rsidR="00B517F5" w:rsidRDefault="00B517F5" w:rsidP="009A43A5">
            <w:pPr>
              <w:jc w:val="center"/>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527D7C" w14:textId="77777777" w:rsidR="00B517F5" w:rsidRPr="00B517F5" w:rsidRDefault="00B517F5" w:rsidP="009A43A5">
            <w:pPr>
              <w:jc w:val="center"/>
              <w:rPr>
                <w:rFonts w:ascii="Arial" w:hAnsi="Arial"/>
                <w:sz w:val="21"/>
                <w:szCs w:val="21"/>
              </w:rPr>
            </w:pPr>
          </w:p>
        </w:tc>
      </w:tr>
      <w:tr w:rsidR="00B517F5" w14:paraId="02E692EA" w14:textId="77777777" w:rsidTr="00B517F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D00B0E0" w14:textId="77777777" w:rsidR="00B517F5" w:rsidRPr="00B517F5" w:rsidRDefault="00B517F5" w:rsidP="00A565D0">
            <w:pPr>
              <w:numPr>
                <w:ilvl w:val="1"/>
                <w:numId w:val="7"/>
              </w:numPr>
              <w:rPr>
                <w:rFonts w:ascii="Arial" w:hAnsi="Arial"/>
                <w:sz w:val="21"/>
              </w:rPr>
            </w:pPr>
            <w:r w:rsidRPr="00B517F5">
              <w:rPr>
                <w:rFonts w:ascii="Arial" w:hAnsi="Arial"/>
                <w:sz w:val="21"/>
              </w:rPr>
              <w:lastRenderedPageBreak/>
              <w:t>City of Santa Monica</w:t>
            </w:r>
          </w:p>
        </w:tc>
        <w:tc>
          <w:tcPr>
            <w:tcW w:w="1890" w:type="dxa"/>
            <w:tcBorders>
              <w:top w:val="single" w:sz="4" w:space="0" w:color="auto"/>
              <w:left w:val="single" w:sz="4" w:space="0" w:color="auto"/>
              <w:bottom w:val="single" w:sz="4" w:space="0" w:color="auto"/>
              <w:right w:val="single" w:sz="4" w:space="0" w:color="auto"/>
            </w:tcBorders>
            <w:vAlign w:val="center"/>
          </w:tcPr>
          <w:p w14:paraId="7E8E78E2" w14:textId="77777777" w:rsidR="00B517F5" w:rsidRDefault="00B517F5" w:rsidP="009A43A5">
            <w:pPr>
              <w:jc w:val="center"/>
              <w:rPr>
                <w:rFonts w:ascii="Arial" w:hAnsi="Arial"/>
                <w:sz w:val="21"/>
              </w:rPr>
            </w:pPr>
            <w:r>
              <w:rPr>
                <w:rFonts w:ascii="Arial" w:hAnsi="Arial"/>
                <w:sz w:val="21"/>
              </w:rPr>
              <w:t>19</w:t>
            </w:r>
          </w:p>
        </w:tc>
        <w:tc>
          <w:tcPr>
            <w:tcW w:w="1911" w:type="dxa"/>
            <w:tcBorders>
              <w:top w:val="single" w:sz="4" w:space="0" w:color="auto"/>
              <w:left w:val="single" w:sz="4" w:space="0" w:color="auto"/>
              <w:bottom w:val="single" w:sz="4" w:space="0" w:color="auto"/>
              <w:right w:val="single" w:sz="4" w:space="0" w:color="auto"/>
            </w:tcBorders>
            <w:vAlign w:val="center"/>
          </w:tcPr>
          <w:p w14:paraId="3AC06B71" w14:textId="77777777" w:rsidR="00B517F5" w:rsidRDefault="00B517F5" w:rsidP="009A43A5">
            <w:pPr>
              <w:jc w:val="center"/>
              <w:rPr>
                <w:rFonts w:ascii="Arial" w:hAnsi="Arial"/>
                <w:sz w:val="21"/>
                <w:szCs w:val="21"/>
              </w:rPr>
            </w:pPr>
            <w:r w:rsidRPr="65033BF9">
              <w:rPr>
                <w:rFonts w:ascii="Arial" w:hAnsi="Arial"/>
                <w:sz w:val="21"/>
                <w:szCs w:val="21"/>
              </w:rPr>
              <w:t>22</w:t>
            </w:r>
          </w:p>
        </w:tc>
      </w:tr>
      <w:tr w:rsidR="00B517F5" w14:paraId="5E3704D1" w14:textId="77777777" w:rsidTr="00B517F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629ECBB6" w14:textId="77777777" w:rsidR="00B517F5" w:rsidRPr="00B517F5" w:rsidRDefault="00B517F5" w:rsidP="00A565D0">
            <w:pPr>
              <w:numPr>
                <w:ilvl w:val="1"/>
                <w:numId w:val="7"/>
              </w:numPr>
              <w:rPr>
                <w:rFonts w:ascii="Arial" w:hAnsi="Arial"/>
                <w:sz w:val="21"/>
              </w:rPr>
            </w:pPr>
            <w:r w:rsidRPr="00B517F5">
              <w:rPr>
                <w:rFonts w:ascii="Arial" w:hAnsi="Arial"/>
                <w:sz w:val="21"/>
              </w:rPr>
              <w:t>LAFLA</w:t>
            </w:r>
          </w:p>
        </w:tc>
        <w:tc>
          <w:tcPr>
            <w:tcW w:w="1890" w:type="dxa"/>
            <w:tcBorders>
              <w:top w:val="single" w:sz="4" w:space="0" w:color="auto"/>
              <w:left w:val="single" w:sz="4" w:space="0" w:color="auto"/>
              <w:bottom w:val="single" w:sz="4" w:space="0" w:color="auto"/>
              <w:right w:val="single" w:sz="4" w:space="0" w:color="auto"/>
            </w:tcBorders>
            <w:vAlign w:val="center"/>
          </w:tcPr>
          <w:p w14:paraId="00F9E183" w14:textId="77777777" w:rsidR="00B517F5" w:rsidRDefault="00B517F5" w:rsidP="009A43A5">
            <w:pPr>
              <w:jc w:val="center"/>
              <w:rPr>
                <w:rFonts w:ascii="Arial" w:hAnsi="Arial"/>
                <w:sz w:val="21"/>
              </w:rPr>
            </w:pPr>
            <w:r>
              <w:rPr>
                <w:rFonts w:ascii="Arial" w:hAnsi="Arial"/>
                <w:sz w:val="21"/>
              </w:rPr>
              <w:t>17</w:t>
            </w:r>
          </w:p>
        </w:tc>
        <w:tc>
          <w:tcPr>
            <w:tcW w:w="1911" w:type="dxa"/>
            <w:tcBorders>
              <w:top w:val="single" w:sz="4" w:space="0" w:color="auto"/>
              <w:left w:val="single" w:sz="4" w:space="0" w:color="auto"/>
              <w:bottom w:val="single" w:sz="4" w:space="0" w:color="auto"/>
              <w:right w:val="single" w:sz="4" w:space="0" w:color="auto"/>
            </w:tcBorders>
            <w:vAlign w:val="center"/>
          </w:tcPr>
          <w:p w14:paraId="0D4D0149" w14:textId="77777777" w:rsidR="00B517F5" w:rsidRDefault="00B517F5" w:rsidP="009A43A5">
            <w:pPr>
              <w:jc w:val="center"/>
              <w:rPr>
                <w:rFonts w:ascii="Arial" w:hAnsi="Arial"/>
                <w:sz w:val="21"/>
                <w:szCs w:val="21"/>
              </w:rPr>
            </w:pPr>
            <w:r w:rsidRPr="65033BF9">
              <w:rPr>
                <w:rFonts w:ascii="Arial" w:hAnsi="Arial"/>
                <w:sz w:val="21"/>
                <w:szCs w:val="21"/>
              </w:rPr>
              <w:t>21</w:t>
            </w:r>
          </w:p>
        </w:tc>
      </w:tr>
      <w:tr w:rsidR="00B517F5" w14:paraId="7772EBC4" w14:textId="77777777" w:rsidTr="00B517F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7FC0AD36" w14:textId="77777777" w:rsidR="00B517F5" w:rsidRPr="00B517F5" w:rsidRDefault="00B517F5" w:rsidP="00A565D0">
            <w:pPr>
              <w:numPr>
                <w:ilvl w:val="1"/>
                <w:numId w:val="7"/>
              </w:numPr>
              <w:spacing w:line="259" w:lineRule="auto"/>
              <w:rPr>
                <w:rFonts w:ascii="Arial" w:hAnsi="Arial"/>
                <w:sz w:val="21"/>
              </w:rPr>
            </w:pPr>
            <w:r w:rsidRPr="00B517F5">
              <w:rPr>
                <w:rFonts w:ascii="Arial" w:hAnsi="Arial"/>
                <w:sz w:val="21"/>
              </w:rPr>
              <w:t>CCSM</w:t>
            </w:r>
          </w:p>
        </w:tc>
        <w:tc>
          <w:tcPr>
            <w:tcW w:w="1890" w:type="dxa"/>
            <w:tcBorders>
              <w:top w:val="single" w:sz="4" w:space="0" w:color="auto"/>
              <w:left w:val="single" w:sz="4" w:space="0" w:color="auto"/>
              <w:bottom w:val="single" w:sz="4" w:space="0" w:color="auto"/>
              <w:right w:val="single" w:sz="4" w:space="0" w:color="auto"/>
            </w:tcBorders>
            <w:vAlign w:val="center"/>
          </w:tcPr>
          <w:p w14:paraId="1DC1ECB3" w14:textId="77777777" w:rsidR="00B517F5" w:rsidRDefault="00B517F5" w:rsidP="009A43A5">
            <w:pPr>
              <w:jc w:val="center"/>
              <w:rPr>
                <w:rFonts w:ascii="Arial" w:hAnsi="Arial"/>
                <w:sz w:val="21"/>
              </w:rPr>
            </w:pPr>
            <w:r>
              <w:rPr>
                <w:rFonts w:ascii="Arial" w:hAnsi="Arial"/>
                <w:sz w:val="21"/>
              </w:rPr>
              <w:t>3</w:t>
            </w:r>
          </w:p>
        </w:tc>
        <w:tc>
          <w:tcPr>
            <w:tcW w:w="1911" w:type="dxa"/>
            <w:tcBorders>
              <w:top w:val="single" w:sz="4" w:space="0" w:color="auto"/>
              <w:left w:val="single" w:sz="4" w:space="0" w:color="auto"/>
              <w:bottom w:val="single" w:sz="4" w:space="0" w:color="auto"/>
              <w:right w:val="single" w:sz="4" w:space="0" w:color="auto"/>
            </w:tcBorders>
            <w:vAlign w:val="center"/>
          </w:tcPr>
          <w:p w14:paraId="33A26113" w14:textId="77777777" w:rsidR="00B517F5" w:rsidRDefault="00B517F5" w:rsidP="009A43A5">
            <w:pPr>
              <w:jc w:val="center"/>
              <w:rPr>
                <w:rFonts w:ascii="Arial" w:hAnsi="Arial"/>
                <w:sz w:val="21"/>
                <w:szCs w:val="21"/>
              </w:rPr>
            </w:pPr>
            <w:r w:rsidRPr="65033BF9">
              <w:rPr>
                <w:rFonts w:ascii="Arial" w:hAnsi="Arial"/>
                <w:sz w:val="21"/>
                <w:szCs w:val="21"/>
              </w:rPr>
              <w:t>6</w:t>
            </w:r>
          </w:p>
        </w:tc>
      </w:tr>
    </w:tbl>
    <w:p w14:paraId="1C3F4FDD" w14:textId="77777777" w:rsidR="00B517F5" w:rsidRDefault="00B517F5">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B517F5" w:rsidSect="00837E7E">
          <w:footerReference w:type="default" r:id="rId15"/>
          <w:endnotePr>
            <w:numFmt w:val="decimal"/>
          </w:endnotePr>
          <w:pgSz w:w="12240" w:h="15840"/>
          <w:pgMar w:top="1080" w:right="1080" w:bottom="1080" w:left="1080" w:header="1080" w:footer="691" w:gutter="0"/>
          <w:cols w:space="720"/>
          <w:noEndnote/>
        </w:sectPr>
      </w:pPr>
    </w:p>
    <w:p w14:paraId="54B5EC9B" w14:textId="07CD9618" w:rsidR="004B2A13"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0" w:type="auto"/>
        <w:tblLayout w:type="fixed"/>
        <w:tblLook w:val="04A0" w:firstRow="1" w:lastRow="0" w:firstColumn="1" w:lastColumn="0" w:noHBand="0" w:noVBand="1"/>
      </w:tblPr>
      <w:tblGrid>
        <w:gridCol w:w="390"/>
        <w:gridCol w:w="1440"/>
        <w:gridCol w:w="1395"/>
        <w:gridCol w:w="2970"/>
        <w:gridCol w:w="900"/>
        <w:gridCol w:w="1800"/>
        <w:gridCol w:w="1800"/>
        <w:gridCol w:w="1890"/>
      </w:tblGrid>
      <w:tr w:rsidR="65033BF9" w14:paraId="6245E271" w14:textId="77777777" w:rsidTr="00851904">
        <w:trPr>
          <w:trHeight w:val="795"/>
        </w:trPr>
        <w:tc>
          <w:tcPr>
            <w:tcW w:w="390" w:type="dxa"/>
            <w:tcBorders>
              <w:top w:val="single" w:sz="8" w:space="0" w:color="auto"/>
              <w:left w:val="single" w:sz="8" w:space="0" w:color="auto"/>
              <w:bottom w:val="single" w:sz="4" w:space="0" w:color="auto"/>
              <w:right w:val="single" w:sz="8" w:space="0" w:color="auto"/>
            </w:tcBorders>
            <w:shd w:val="clear" w:color="auto" w:fill="C0C0C0"/>
            <w:tcMar>
              <w:left w:w="108" w:type="dxa"/>
              <w:right w:w="108" w:type="dxa"/>
            </w:tcMar>
            <w:vAlign w:val="center"/>
          </w:tcPr>
          <w:p w14:paraId="6ED60B8F" w14:textId="3ACDA685" w:rsidR="65033BF9" w:rsidRDefault="65033BF9" w:rsidP="65033BF9">
            <w:pPr>
              <w:jc w:val="center"/>
              <w:rPr>
                <w:rFonts w:ascii="Arial" w:eastAsia="Arial" w:hAnsi="Arial" w:cs="Arial"/>
                <w:b/>
                <w:bCs/>
                <w:color w:val="000000" w:themeColor="text1"/>
                <w:szCs w:val="20"/>
              </w:rPr>
            </w:pPr>
          </w:p>
        </w:tc>
        <w:tc>
          <w:tcPr>
            <w:tcW w:w="1440" w:type="dxa"/>
            <w:tcBorders>
              <w:top w:val="single" w:sz="8" w:space="0" w:color="auto"/>
              <w:left w:val="single" w:sz="8" w:space="0" w:color="auto"/>
              <w:bottom w:val="single" w:sz="4" w:space="0" w:color="auto"/>
              <w:right w:val="single" w:sz="8" w:space="0" w:color="auto"/>
            </w:tcBorders>
            <w:shd w:val="clear" w:color="auto" w:fill="C0C0C0"/>
            <w:tcMar>
              <w:left w:w="108" w:type="dxa"/>
              <w:right w:w="108" w:type="dxa"/>
            </w:tcMar>
            <w:vAlign w:val="center"/>
          </w:tcPr>
          <w:p w14:paraId="66F41273" w14:textId="070BC4C1" w:rsidR="65033BF9" w:rsidRDefault="65033BF9" w:rsidP="65033BF9">
            <w:pPr>
              <w:jc w:val="center"/>
            </w:pPr>
            <w:r w:rsidRPr="65033BF9">
              <w:rPr>
                <w:rFonts w:ascii="Arial" w:eastAsia="Arial" w:hAnsi="Arial" w:cs="Arial"/>
                <w:b/>
                <w:bCs/>
                <w:color w:val="000000" w:themeColor="text1"/>
                <w:szCs w:val="20"/>
              </w:rPr>
              <w:t>Service Category/ Program Goal</w:t>
            </w:r>
          </w:p>
        </w:tc>
        <w:tc>
          <w:tcPr>
            <w:tcW w:w="1395"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4633A6AC" w14:textId="39F9C25D" w:rsidR="65033BF9" w:rsidRDefault="65033BF9" w:rsidP="65033BF9">
            <w:pPr>
              <w:jc w:val="center"/>
            </w:pPr>
            <w:r w:rsidRPr="65033BF9">
              <w:rPr>
                <w:rFonts w:ascii="Arial" w:eastAsia="Arial" w:hAnsi="Arial" w:cs="Arial"/>
                <w:b/>
                <w:bCs/>
                <w:color w:val="000000" w:themeColor="text1"/>
                <w:szCs w:val="20"/>
              </w:rPr>
              <w:t>Activity Type</w:t>
            </w:r>
          </w:p>
        </w:tc>
        <w:tc>
          <w:tcPr>
            <w:tcW w:w="2970"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519D631E" w14:textId="5CA29FB5" w:rsidR="65033BF9" w:rsidRDefault="65033BF9" w:rsidP="65033BF9">
            <w:pPr>
              <w:jc w:val="center"/>
            </w:pPr>
            <w:r w:rsidRPr="65033BF9">
              <w:rPr>
                <w:rFonts w:ascii="Arial" w:eastAsia="Arial" w:hAnsi="Arial" w:cs="Arial"/>
                <w:b/>
                <w:bCs/>
                <w:color w:val="000000" w:themeColor="text1"/>
                <w:szCs w:val="20"/>
              </w:rPr>
              <w:t>Activity Description</w:t>
            </w:r>
          </w:p>
        </w:tc>
        <w:tc>
          <w:tcPr>
            <w:tcW w:w="900"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6CA72168" w14:textId="23173DA0" w:rsidR="65033BF9" w:rsidRDefault="65033BF9" w:rsidP="65033BF9">
            <w:pPr>
              <w:jc w:val="center"/>
            </w:pPr>
            <w:r w:rsidRPr="65033BF9">
              <w:rPr>
                <w:rFonts w:ascii="Arial" w:eastAsia="Arial" w:hAnsi="Arial" w:cs="Arial"/>
                <w:b/>
                <w:bCs/>
                <w:color w:val="000000" w:themeColor="text1"/>
                <w:szCs w:val="20"/>
              </w:rPr>
              <w:t xml:space="preserve">Annual Target* </w:t>
            </w:r>
          </w:p>
        </w:tc>
        <w:tc>
          <w:tcPr>
            <w:tcW w:w="1800"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71995B23" w14:textId="41EE96D9" w:rsidR="65033BF9" w:rsidRDefault="65033BF9" w:rsidP="65033BF9">
            <w:pPr>
              <w:jc w:val="center"/>
            </w:pPr>
            <w:r w:rsidRPr="65033BF9">
              <w:rPr>
                <w:rFonts w:ascii="Arial" w:eastAsia="Arial" w:hAnsi="Arial" w:cs="Arial"/>
                <w:b/>
                <w:bCs/>
                <w:color w:val="000000" w:themeColor="text1"/>
                <w:szCs w:val="20"/>
              </w:rPr>
              <w:t>Documentation</w:t>
            </w:r>
          </w:p>
          <w:p w14:paraId="1338A84C" w14:textId="65B8E693" w:rsidR="65033BF9" w:rsidRDefault="65033BF9" w:rsidP="65033BF9">
            <w:pPr>
              <w:jc w:val="center"/>
            </w:pPr>
            <w:r w:rsidRPr="65033BF9">
              <w:rPr>
                <w:rFonts w:ascii="Arial" w:eastAsia="Arial" w:hAnsi="Arial" w:cs="Arial"/>
                <w:b/>
                <w:bCs/>
                <w:color w:val="000000" w:themeColor="text1"/>
                <w:szCs w:val="20"/>
              </w:rPr>
              <w:t>Method</w:t>
            </w:r>
          </w:p>
        </w:tc>
        <w:tc>
          <w:tcPr>
            <w:tcW w:w="1800"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38042D7F" w14:textId="2BF6E1E1" w:rsidR="65033BF9" w:rsidRDefault="65033BF9" w:rsidP="65033BF9">
            <w:pPr>
              <w:jc w:val="center"/>
            </w:pPr>
            <w:r w:rsidRPr="65033BF9">
              <w:rPr>
                <w:rFonts w:ascii="Arial" w:eastAsia="Arial" w:hAnsi="Arial" w:cs="Arial"/>
                <w:b/>
                <w:bCs/>
                <w:color w:val="000000" w:themeColor="text1"/>
                <w:szCs w:val="20"/>
              </w:rPr>
              <w:t>Mid-Year Status Report</w:t>
            </w:r>
          </w:p>
        </w:tc>
        <w:tc>
          <w:tcPr>
            <w:tcW w:w="1890"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55F2D0E6" w14:textId="38AF9192" w:rsidR="65033BF9" w:rsidRDefault="65033BF9" w:rsidP="65033BF9">
            <w:pPr>
              <w:jc w:val="center"/>
            </w:pPr>
            <w:r w:rsidRPr="65033BF9">
              <w:rPr>
                <w:rFonts w:ascii="Arial" w:eastAsia="Arial" w:hAnsi="Arial" w:cs="Arial"/>
                <w:b/>
                <w:bCs/>
                <w:color w:val="000000" w:themeColor="text1"/>
                <w:szCs w:val="20"/>
              </w:rPr>
              <w:t>End of Year Status Report</w:t>
            </w:r>
          </w:p>
        </w:tc>
      </w:tr>
      <w:tr w:rsidR="00A80E71" w14:paraId="6B6DA515" w14:textId="77777777" w:rsidTr="00A80E71">
        <w:trPr>
          <w:trHeight w:val="1323"/>
        </w:trPr>
        <w:tc>
          <w:tcPr>
            <w:tcW w:w="390" w:type="dxa"/>
            <w:vMerge w:val="restart"/>
            <w:tcBorders>
              <w:top w:val="single" w:sz="4" w:space="0" w:color="auto"/>
              <w:left w:val="single" w:sz="4" w:space="0" w:color="auto"/>
              <w:right w:val="single" w:sz="8" w:space="0" w:color="auto"/>
            </w:tcBorders>
            <w:tcMar>
              <w:left w:w="108" w:type="dxa"/>
              <w:right w:w="108" w:type="dxa"/>
            </w:tcMar>
            <w:vAlign w:val="center"/>
          </w:tcPr>
          <w:p w14:paraId="5D0DFE00" w14:textId="110D1175" w:rsidR="00A80E71" w:rsidRDefault="00A80E71" w:rsidP="65033BF9">
            <w:pPr>
              <w:jc w:val="center"/>
            </w:pPr>
            <w:r w:rsidRPr="65033BF9">
              <w:rPr>
                <w:rFonts w:ascii="Arial" w:eastAsia="Arial" w:hAnsi="Arial" w:cs="Arial"/>
                <w:color w:val="000000" w:themeColor="text1"/>
                <w:szCs w:val="20"/>
              </w:rPr>
              <w:t>1</w:t>
            </w:r>
          </w:p>
        </w:tc>
        <w:tc>
          <w:tcPr>
            <w:tcW w:w="1440" w:type="dxa"/>
            <w:vMerge w:val="restart"/>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30025D5D" w14:textId="3442D38B" w:rsidR="00A80E71" w:rsidRDefault="00A80E71" w:rsidP="65033BF9">
            <w:pPr>
              <w:jc w:val="center"/>
            </w:pPr>
            <w:r>
              <w:br/>
            </w:r>
            <w:r w:rsidRPr="65033BF9">
              <w:rPr>
                <w:rFonts w:ascii="Arial" w:eastAsia="Arial" w:hAnsi="Arial" w:cs="Arial"/>
                <w:szCs w:val="20"/>
              </w:rPr>
              <w:t xml:space="preserve">Housing Retention </w:t>
            </w:r>
          </w:p>
        </w:tc>
        <w:tc>
          <w:tcPr>
            <w:tcW w:w="1395" w:type="dxa"/>
            <w:tcBorders>
              <w:top w:val="single" w:sz="8" w:space="0" w:color="auto"/>
              <w:left w:val="single" w:sz="4" w:space="0" w:color="auto"/>
              <w:bottom w:val="single" w:sz="8" w:space="0" w:color="auto"/>
              <w:right w:val="single" w:sz="8" w:space="0" w:color="auto"/>
            </w:tcBorders>
            <w:tcMar>
              <w:left w:w="108" w:type="dxa"/>
              <w:right w:w="108" w:type="dxa"/>
            </w:tcMar>
            <w:vAlign w:val="center"/>
          </w:tcPr>
          <w:p w14:paraId="5F149945" w14:textId="639657BE" w:rsidR="00A80E71" w:rsidRDefault="00A80E71" w:rsidP="65033BF9">
            <w:pPr>
              <w:jc w:val="center"/>
            </w:pPr>
            <w:r w:rsidRPr="65033BF9">
              <w:rPr>
                <w:rFonts w:ascii="Arial" w:eastAsia="Arial" w:hAnsi="Arial" w:cs="Arial"/>
                <w:color w:val="000000" w:themeColor="text1"/>
                <w:szCs w:val="20"/>
              </w:rPr>
              <w:t>Output</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639460" w14:textId="0BDA375A" w:rsidR="00A80E71" w:rsidRDefault="00A80E71" w:rsidP="65033BF9">
            <w:pPr>
              <w:jc w:val="center"/>
            </w:pPr>
            <w:r w:rsidRPr="65033BF9">
              <w:rPr>
                <w:rFonts w:ascii="Arial" w:eastAsia="Arial" w:hAnsi="Arial" w:cs="Arial"/>
                <w:color w:val="000000" w:themeColor="text1"/>
                <w:szCs w:val="20"/>
              </w:rPr>
              <w:t>Adult participant will be served through this grant.</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1BE7C5" w14:textId="5261113B" w:rsidR="00A80E71" w:rsidRDefault="00A80E71" w:rsidP="65033BF9">
            <w:pPr>
              <w:jc w:val="center"/>
            </w:pPr>
            <w:r w:rsidRPr="65033BF9">
              <w:rPr>
                <w:rFonts w:ascii="Arial" w:eastAsia="Arial" w:hAnsi="Arial" w:cs="Arial"/>
                <w:color w:val="000000" w:themeColor="text1"/>
                <w:szCs w:val="20"/>
              </w:rPr>
              <w:t>150 SMPP</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87182E" w14:textId="3285DBAE" w:rsidR="00A80E71" w:rsidRDefault="00A80E71" w:rsidP="65033BF9">
            <w:pPr>
              <w:jc w:val="center"/>
            </w:pPr>
            <w:r w:rsidRPr="65033BF9">
              <w:rPr>
                <w:rFonts w:ascii="Arial" w:eastAsia="Arial" w:hAnsi="Arial" w:cs="Arial"/>
                <w:color w:val="000000" w:themeColor="text1"/>
                <w:szCs w:val="20"/>
              </w:rPr>
              <w:t>ServicePoint</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tcPr>
          <w:p w14:paraId="5533F431" w14:textId="36F911B0" w:rsidR="00A80E71" w:rsidRDefault="00A80E71" w:rsidP="65033BF9">
            <w:pPr>
              <w:jc w:val="center"/>
            </w:pPr>
            <w:r w:rsidRPr="65033BF9">
              <w:rPr>
                <w:rFonts w:ascii="Arial" w:eastAsia="Arial" w:hAnsi="Arial" w:cs="Arial"/>
                <w:color w:val="000000" w:themeColor="text1"/>
                <w:szCs w:val="20"/>
              </w:rPr>
              <w:t xml:space="preserve"> </w:t>
            </w:r>
          </w:p>
          <w:p w14:paraId="42DCC4C1" w14:textId="75F65C65" w:rsidR="00A80E71" w:rsidRDefault="00A80E71" w:rsidP="65033BF9">
            <w:pPr>
              <w:jc w:val="center"/>
            </w:pPr>
            <w:r w:rsidRPr="65033BF9">
              <w:rPr>
                <w:rFonts w:ascii="Arial" w:eastAsia="Arial" w:hAnsi="Arial" w:cs="Arial"/>
                <w:szCs w:val="20"/>
              </w:rPr>
              <w:t>158</w:t>
            </w:r>
          </w:p>
        </w:tc>
        <w:tc>
          <w:tcPr>
            <w:tcW w:w="189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9B691C5" w14:textId="3FEFB2FE" w:rsidR="00A80E71" w:rsidRDefault="00A80E71" w:rsidP="65033BF9">
            <w:pPr>
              <w:jc w:val="center"/>
            </w:pPr>
            <w:r w:rsidRPr="65033BF9">
              <w:rPr>
                <w:rFonts w:ascii="Arial" w:eastAsia="Arial" w:hAnsi="Arial" w:cs="Arial"/>
                <w:color w:val="000000" w:themeColor="text1"/>
                <w:szCs w:val="20"/>
              </w:rPr>
              <w:t xml:space="preserve"> </w:t>
            </w:r>
          </w:p>
          <w:p w14:paraId="62551E5F" w14:textId="115D5596" w:rsidR="00A80E71" w:rsidRDefault="00A80E71" w:rsidP="65033BF9">
            <w:pPr>
              <w:spacing w:line="257" w:lineRule="auto"/>
              <w:jc w:val="center"/>
              <w:rPr>
                <w:rFonts w:ascii="Arial" w:eastAsia="Arial" w:hAnsi="Arial" w:cs="Arial"/>
                <w:color w:val="000000" w:themeColor="text1"/>
                <w:szCs w:val="20"/>
              </w:rPr>
            </w:pPr>
            <w:r w:rsidRPr="65033BF9">
              <w:rPr>
                <w:rFonts w:ascii="Arial" w:eastAsia="Arial" w:hAnsi="Arial" w:cs="Arial"/>
                <w:color w:val="000000" w:themeColor="text1"/>
                <w:szCs w:val="20"/>
              </w:rPr>
              <w:t xml:space="preserve">169 </w:t>
            </w:r>
          </w:p>
          <w:p w14:paraId="205B3010" w14:textId="4E7159D6" w:rsidR="00A80E71" w:rsidRDefault="00A80E71" w:rsidP="65033BF9">
            <w:pPr>
              <w:jc w:val="center"/>
            </w:pPr>
            <w:r w:rsidRPr="65033BF9">
              <w:rPr>
                <w:rFonts w:ascii="Arial" w:eastAsia="Arial" w:hAnsi="Arial" w:cs="Arial"/>
                <w:color w:val="000000" w:themeColor="text1"/>
                <w:szCs w:val="20"/>
              </w:rPr>
              <w:t xml:space="preserve"> </w:t>
            </w:r>
          </w:p>
        </w:tc>
      </w:tr>
      <w:tr w:rsidR="00A80E71" w14:paraId="7F6802EC" w14:textId="77777777" w:rsidTr="00B639E4">
        <w:trPr>
          <w:trHeight w:val="915"/>
        </w:trPr>
        <w:tc>
          <w:tcPr>
            <w:tcW w:w="390" w:type="dxa"/>
            <w:vMerge/>
            <w:tcBorders>
              <w:left w:val="single" w:sz="4" w:space="0" w:color="auto"/>
              <w:right w:val="single" w:sz="8" w:space="0" w:color="auto"/>
            </w:tcBorders>
            <w:vAlign w:val="center"/>
          </w:tcPr>
          <w:p w14:paraId="2CB40145" w14:textId="77777777" w:rsidR="00A80E71" w:rsidRDefault="00A80E71"/>
        </w:tc>
        <w:tc>
          <w:tcPr>
            <w:tcW w:w="1440" w:type="dxa"/>
            <w:vMerge/>
            <w:tcBorders>
              <w:top w:val="single" w:sz="8" w:space="0" w:color="auto"/>
              <w:left w:val="single" w:sz="8" w:space="0" w:color="auto"/>
              <w:bottom w:val="single" w:sz="4" w:space="0" w:color="auto"/>
              <w:right w:val="single" w:sz="4" w:space="0" w:color="auto"/>
            </w:tcBorders>
            <w:vAlign w:val="center"/>
          </w:tcPr>
          <w:p w14:paraId="6A1CAC14" w14:textId="77777777" w:rsidR="00A80E71" w:rsidRDefault="00A80E71"/>
        </w:tc>
        <w:tc>
          <w:tcPr>
            <w:tcW w:w="1395" w:type="dxa"/>
            <w:tcBorders>
              <w:top w:val="single" w:sz="8" w:space="0" w:color="auto"/>
              <w:left w:val="single" w:sz="4" w:space="0" w:color="auto"/>
              <w:right w:val="single" w:sz="8" w:space="0" w:color="auto"/>
            </w:tcBorders>
            <w:tcMar>
              <w:left w:w="108" w:type="dxa"/>
              <w:right w:w="108" w:type="dxa"/>
            </w:tcMar>
            <w:vAlign w:val="center"/>
          </w:tcPr>
          <w:p w14:paraId="6D802C25" w14:textId="3CD91708" w:rsidR="00A80E71" w:rsidRDefault="00A80E71" w:rsidP="65033BF9">
            <w:pPr>
              <w:jc w:val="center"/>
            </w:pPr>
            <w:r w:rsidRPr="65033BF9">
              <w:rPr>
                <w:rFonts w:ascii="Arial" w:eastAsia="Arial" w:hAnsi="Arial" w:cs="Arial"/>
                <w:color w:val="000000" w:themeColor="text1"/>
                <w:szCs w:val="20"/>
              </w:rPr>
              <w:t>Outcome</w:t>
            </w:r>
          </w:p>
        </w:tc>
        <w:tc>
          <w:tcPr>
            <w:tcW w:w="2970" w:type="dxa"/>
            <w:tcBorders>
              <w:top w:val="single" w:sz="8" w:space="0" w:color="auto"/>
              <w:left w:val="single" w:sz="8" w:space="0" w:color="auto"/>
              <w:right w:val="single" w:sz="8" w:space="0" w:color="auto"/>
            </w:tcBorders>
            <w:tcMar>
              <w:left w:w="108" w:type="dxa"/>
              <w:right w:w="108" w:type="dxa"/>
            </w:tcMar>
            <w:vAlign w:val="center"/>
          </w:tcPr>
          <w:p w14:paraId="5D7BA783" w14:textId="1ABE6EC4" w:rsidR="00A80E71" w:rsidRDefault="00A80E71" w:rsidP="65033BF9">
            <w:pPr>
              <w:jc w:val="center"/>
            </w:pPr>
            <w:r w:rsidRPr="65033BF9">
              <w:rPr>
                <w:rFonts w:ascii="Arial" w:eastAsia="Arial" w:hAnsi="Arial" w:cs="Arial"/>
                <w:color w:val="000000" w:themeColor="text1"/>
                <w:szCs w:val="20"/>
              </w:rPr>
              <w:t>Adult participant will maintain housing through the end of the program year</w:t>
            </w:r>
          </w:p>
        </w:tc>
        <w:tc>
          <w:tcPr>
            <w:tcW w:w="900" w:type="dxa"/>
            <w:tcBorders>
              <w:top w:val="single" w:sz="8" w:space="0" w:color="auto"/>
              <w:left w:val="single" w:sz="8" w:space="0" w:color="auto"/>
              <w:right w:val="single" w:sz="8" w:space="0" w:color="auto"/>
            </w:tcBorders>
            <w:tcMar>
              <w:left w:w="108" w:type="dxa"/>
              <w:right w:w="108" w:type="dxa"/>
            </w:tcMar>
            <w:vAlign w:val="center"/>
          </w:tcPr>
          <w:p w14:paraId="11460B3C" w14:textId="02E70ADA" w:rsidR="00A80E71" w:rsidRDefault="00A80E71" w:rsidP="65033BF9">
            <w:pPr>
              <w:jc w:val="center"/>
            </w:pPr>
            <w:r w:rsidRPr="65033BF9">
              <w:rPr>
                <w:rFonts w:ascii="Arial" w:eastAsia="Arial" w:hAnsi="Arial" w:cs="Arial"/>
                <w:color w:val="000000" w:themeColor="text1"/>
                <w:szCs w:val="20"/>
              </w:rPr>
              <w:t>135 SMPP</w:t>
            </w:r>
          </w:p>
        </w:tc>
        <w:tc>
          <w:tcPr>
            <w:tcW w:w="1800" w:type="dxa"/>
            <w:tcBorders>
              <w:top w:val="single" w:sz="8" w:space="0" w:color="auto"/>
              <w:left w:val="single" w:sz="8" w:space="0" w:color="auto"/>
              <w:right w:val="single" w:sz="8" w:space="0" w:color="auto"/>
            </w:tcBorders>
            <w:tcMar>
              <w:left w:w="108" w:type="dxa"/>
              <w:right w:w="108" w:type="dxa"/>
            </w:tcMar>
            <w:vAlign w:val="center"/>
          </w:tcPr>
          <w:p w14:paraId="0A31C479" w14:textId="1B85E76D" w:rsidR="00A80E71" w:rsidRDefault="00A80E71" w:rsidP="65033BF9">
            <w:pPr>
              <w:jc w:val="center"/>
            </w:pPr>
            <w:r w:rsidRPr="65033BF9">
              <w:rPr>
                <w:rFonts w:ascii="Arial" w:eastAsia="Arial" w:hAnsi="Arial" w:cs="Arial"/>
                <w:color w:val="000000" w:themeColor="text1"/>
                <w:szCs w:val="20"/>
              </w:rPr>
              <w:t>ServicePoint</w:t>
            </w:r>
          </w:p>
          <w:p w14:paraId="7DCFF106" w14:textId="7501DFBD" w:rsidR="00A80E71" w:rsidRDefault="00A80E71" w:rsidP="65033BF9">
            <w:pPr>
              <w:jc w:val="center"/>
            </w:pPr>
            <w:r w:rsidRPr="65033BF9">
              <w:rPr>
                <w:rFonts w:ascii="Arial" w:eastAsia="Arial" w:hAnsi="Arial" w:cs="Arial"/>
                <w:color w:val="000000" w:themeColor="text1"/>
                <w:szCs w:val="20"/>
              </w:rPr>
              <w:t xml:space="preserve"> </w:t>
            </w:r>
          </w:p>
        </w:tc>
        <w:tc>
          <w:tcPr>
            <w:tcW w:w="1800" w:type="dxa"/>
            <w:tcBorders>
              <w:top w:val="single" w:sz="8" w:space="0" w:color="auto"/>
              <w:left w:val="single" w:sz="8" w:space="0" w:color="auto"/>
              <w:right w:val="single" w:sz="8" w:space="0" w:color="auto"/>
            </w:tcBorders>
            <w:tcMar>
              <w:left w:w="108" w:type="dxa"/>
              <w:right w:w="108" w:type="dxa"/>
            </w:tcMar>
          </w:tcPr>
          <w:p w14:paraId="407252A6" w14:textId="33D06C7C" w:rsidR="00A80E71" w:rsidRDefault="00A80E71" w:rsidP="65033BF9">
            <w:pPr>
              <w:jc w:val="center"/>
            </w:pPr>
            <w:r w:rsidRPr="65033BF9">
              <w:rPr>
                <w:rFonts w:ascii="Arial" w:eastAsia="Arial" w:hAnsi="Arial" w:cs="Arial"/>
                <w:color w:val="C00000"/>
                <w:szCs w:val="20"/>
              </w:rPr>
              <w:t xml:space="preserve"> </w:t>
            </w:r>
          </w:p>
          <w:p w14:paraId="0C4DE7D2" w14:textId="2A5C48B6" w:rsidR="00A80E71" w:rsidRDefault="00A80E71" w:rsidP="65033BF9">
            <w:pPr>
              <w:jc w:val="center"/>
            </w:pPr>
            <w:r w:rsidRPr="65033BF9">
              <w:rPr>
                <w:rFonts w:ascii="Arial" w:eastAsia="Arial" w:hAnsi="Arial" w:cs="Arial"/>
                <w:szCs w:val="20"/>
              </w:rPr>
              <w:t>154</w:t>
            </w:r>
          </w:p>
        </w:tc>
        <w:tc>
          <w:tcPr>
            <w:tcW w:w="1890" w:type="dxa"/>
            <w:tcBorders>
              <w:top w:val="single" w:sz="8" w:space="0" w:color="auto"/>
              <w:left w:val="single" w:sz="8" w:space="0" w:color="auto"/>
              <w:right w:val="single" w:sz="8" w:space="0" w:color="auto"/>
            </w:tcBorders>
            <w:tcMar>
              <w:left w:w="108" w:type="dxa"/>
              <w:right w:w="108" w:type="dxa"/>
            </w:tcMar>
          </w:tcPr>
          <w:p w14:paraId="04A79D4D" w14:textId="3E7174D0" w:rsidR="00A80E71" w:rsidRDefault="00A80E71" w:rsidP="65033BF9">
            <w:pPr>
              <w:jc w:val="center"/>
            </w:pPr>
            <w:r w:rsidRPr="65033BF9">
              <w:rPr>
                <w:rFonts w:ascii="Arial" w:eastAsia="Arial" w:hAnsi="Arial" w:cs="Arial"/>
                <w:color w:val="000000" w:themeColor="text1"/>
                <w:szCs w:val="20"/>
              </w:rPr>
              <w:t xml:space="preserve"> </w:t>
            </w:r>
          </w:p>
          <w:p w14:paraId="339BD8C3" w14:textId="1CE884EC" w:rsidR="00A80E71" w:rsidRDefault="00A80E71" w:rsidP="65033BF9">
            <w:pPr>
              <w:spacing w:line="257" w:lineRule="auto"/>
              <w:jc w:val="center"/>
              <w:rPr>
                <w:rFonts w:ascii="Arial" w:eastAsia="Arial" w:hAnsi="Arial" w:cs="Arial"/>
                <w:color w:val="000000" w:themeColor="text1"/>
                <w:szCs w:val="20"/>
              </w:rPr>
            </w:pPr>
            <w:r w:rsidRPr="63CE5288">
              <w:rPr>
                <w:rFonts w:ascii="Arial" w:eastAsia="Arial" w:hAnsi="Arial" w:cs="Arial"/>
                <w:color w:val="000000" w:themeColor="text1"/>
                <w:szCs w:val="20"/>
              </w:rPr>
              <w:t xml:space="preserve">161 </w:t>
            </w:r>
          </w:p>
        </w:tc>
      </w:tr>
      <w:tr w:rsidR="007E3ABE" w14:paraId="038EF974" w14:textId="77777777" w:rsidTr="002F6889">
        <w:trPr>
          <w:trHeight w:val="1065"/>
        </w:trPr>
        <w:tc>
          <w:tcPr>
            <w:tcW w:w="390" w:type="dxa"/>
            <w:vMerge w:val="restart"/>
            <w:tcBorders>
              <w:top w:val="single" w:sz="8" w:space="0" w:color="auto"/>
              <w:left w:val="single" w:sz="4" w:space="0" w:color="auto"/>
              <w:right w:val="single" w:sz="8" w:space="0" w:color="auto"/>
            </w:tcBorders>
            <w:vAlign w:val="center"/>
          </w:tcPr>
          <w:p w14:paraId="0F67A191" w14:textId="55241439" w:rsidR="007E3ABE" w:rsidRDefault="007E3ABE">
            <w:r>
              <w:t>2</w:t>
            </w:r>
          </w:p>
        </w:tc>
        <w:tc>
          <w:tcPr>
            <w:tcW w:w="1440" w:type="dxa"/>
            <w:vMerge w:val="restart"/>
            <w:tcBorders>
              <w:top w:val="single" w:sz="8" w:space="0" w:color="auto"/>
              <w:left w:val="single" w:sz="8" w:space="0" w:color="auto"/>
              <w:right w:val="single" w:sz="4" w:space="0" w:color="auto"/>
            </w:tcBorders>
            <w:vAlign w:val="center"/>
          </w:tcPr>
          <w:p w14:paraId="15ADF412" w14:textId="548DB64A" w:rsidR="007E3ABE" w:rsidRDefault="008F6DDD" w:rsidP="008F6DDD">
            <w:pPr>
              <w:jc w:val="center"/>
            </w:pPr>
            <w:r w:rsidRPr="008F6DDD">
              <w:t>Maintain or Improve Economic Vitality</w:t>
            </w:r>
          </w:p>
        </w:tc>
        <w:tc>
          <w:tcPr>
            <w:tcW w:w="1395" w:type="dxa"/>
            <w:tcBorders>
              <w:top w:val="single" w:sz="8" w:space="0" w:color="auto"/>
              <w:left w:val="single" w:sz="4" w:space="0" w:color="auto"/>
              <w:bottom w:val="single" w:sz="8" w:space="0" w:color="auto"/>
              <w:right w:val="single" w:sz="8" w:space="0" w:color="auto"/>
            </w:tcBorders>
            <w:tcMar>
              <w:left w:w="108" w:type="dxa"/>
              <w:right w:w="108" w:type="dxa"/>
            </w:tcMar>
            <w:vAlign w:val="center"/>
          </w:tcPr>
          <w:p w14:paraId="4D791973" w14:textId="674BBE8E" w:rsidR="007E3ABE" w:rsidRPr="65033BF9" w:rsidRDefault="008F6DDD" w:rsidP="65033BF9">
            <w:pPr>
              <w:jc w:val="center"/>
              <w:rPr>
                <w:rFonts w:ascii="Arial" w:eastAsia="Arial" w:hAnsi="Arial" w:cs="Arial"/>
                <w:color w:val="000000" w:themeColor="text1"/>
                <w:szCs w:val="20"/>
              </w:rPr>
            </w:pPr>
            <w:r>
              <w:rPr>
                <w:rFonts w:ascii="Arial" w:eastAsia="Arial" w:hAnsi="Arial" w:cs="Arial"/>
                <w:color w:val="000000" w:themeColor="text1"/>
                <w:szCs w:val="20"/>
              </w:rPr>
              <w:t>Output</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D2327C" w14:textId="132322A3" w:rsidR="007E3ABE" w:rsidRPr="65033BF9" w:rsidRDefault="00C824D4" w:rsidP="65033BF9">
            <w:pPr>
              <w:jc w:val="center"/>
              <w:rPr>
                <w:rFonts w:ascii="Arial" w:eastAsia="Arial" w:hAnsi="Arial" w:cs="Arial"/>
                <w:color w:val="000000" w:themeColor="text1"/>
                <w:szCs w:val="20"/>
              </w:rPr>
            </w:pPr>
            <w:r w:rsidRPr="00C824D4">
              <w:rPr>
                <w:rFonts w:ascii="Arial" w:eastAsia="Arial" w:hAnsi="Arial" w:cs="Arial"/>
                <w:color w:val="000000" w:themeColor="text1"/>
                <w:szCs w:val="20"/>
              </w:rPr>
              <w:t>Adult participants will receive income development services</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E7937E" w14:textId="47A10EFF" w:rsidR="007E3ABE" w:rsidRPr="65033BF9" w:rsidRDefault="00E8678D" w:rsidP="65033BF9">
            <w:pPr>
              <w:jc w:val="center"/>
              <w:rPr>
                <w:rFonts w:ascii="Arial" w:eastAsia="Arial" w:hAnsi="Arial" w:cs="Arial"/>
                <w:color w:val="000000" w:themeColor="text1"/>
                <w:szCs w:val="20"/>
              </w:rPr>
            </w:pPr>
            <w:r>
              <w:rPr>
                <w:rFonts w:ascii="Arial" w:eastAsia="Arial" w:hAnsi="Arial" w:cs="Arial"/>
                <w:color w:val="000000" w:themeColor="text1"/>
                <w:szCs w:val="20"/>
              </w:rPr>
              <w:t>150 SMPP</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121774" w14:textId="48BE1737" w:rsidR="007E3ABE" w:rsidRPr="65033BF9" w:rsidRDefault="00E8678D" w:rsidP="65033BF9">
            <w:pPr>
              <w:jc w:val="center"/>
              <w:rPr>
                <w:rFonts w:ascii="Arial" w:eastAsia="Arial" w:hAnsi="Arial" w:cs="Arial"/>
                <w:color w:val="000000" w:themeColor="text1"/>
                <w:szCs w:val="20"/>
              </w:rPr>
            </w:pPr>
            <w:r w:rsidRPr="65033BF9">
              <w:rPr>
                <w:rFonts w:ascii="Arial" w:eastAsia="Arial" w:hAnsi="Arial" w:cs="Arial"/>
                <w:color w:val="000000" w:themeColor="text1"/>
                <w:szCs w:val="20"/>
              </w:rPr>
              <w:t>ServicePoint</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1A65FB" w14:textId="56E505AB" w:rsidR="007E3ABE" w:rsidRPr="65033BF9" w:rsidRDefault="007F6A84" w:rsidP="002F6889">
            <w:pPr>
              <w:jc w:val="center"/>
              <w:rPr>
                <w:rFonts w:ascii="Arial" w:eastAsia="Arial" w:hAnsi="Arial" w:cs="Arial"/>
                <w:color w:val="000000" w:themeColor="text1"/>
                <w:szCs w:val="20"/>
              </w:rPr>
            </w:pPr>
            <w:r>
              <w:rPr>
                <w:rFonts w:ascii="Arial" w:eastAsia="Arial" w:hAnsi="Arial" w:cs="Arial"/>
                <w:color w:val="000000" w:themeColor="text1"/>
                <w:szCs w:val="20"/>
              </w:rPr>
              <w:t>158</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C70171" w14:textId="1F53B75F" w:rsidR="007E3ABE" w:rsidRPr="65033BF9" w:rsidRDefault="002F6889" w:rsidP="002F6889">
            <w:pPr>
              <w:jc w:val="center"/>
              <w:rPr>
                <w:rFonts w:ascii="Arial" w:eastAsia="Arial" w:hAnsi="Arial" w:cs="Arial"/>
                <w:color w:val="000000" w:themeColor="text1"/>
                <w:szCs w:val="20"/>
              </w:rPr>
            </w:pPr>
            <w:r>
              <w:rPr>
                <w:rFonts w:ascii="Arial" w:eastAsia="Arial" w:hAnsi="Arial" w:cs="Arial"/>
                <w:color w:val="000000" w:themeColor="text1"/>
                <w:szCs w:val="20"/>
              </w:rPr>
              <w:t>169</w:t>
            </w:r>
          </w:p>
        </w:tc>
      </w:tr>
      <w:tr w:rsidR="008916CC" w14:paraId="3695DD6F" w14:textId="77777777" w:rsidTr="00A565D0">
        <w:trPr>
          <w:trHeight w:val="1065"/>
        </w:trPr>
        <w:tc>
          <w:tcPr>
            <w:tcW w:w="390" w:type="dxa"/>
            <w:vMerge/>
            <w:tcBorders>
              <w:left w:val="single" w:sz="4" w:space="0" w:color="auto"/>
              <w:bottom w:val="single" w:sz="4" w:space="0" w:color="auto"/>
              <w:right w:val="single" w:sz="8" w:space="0" w:color="auto"/>
            </w:tcBorders>
            <w:vAlign w:val="center"/>
          </w:tcPr>
          <w:p w14:paraId="4D3C851E" w14:textId="77777777" w:rsidR="008916CC" w:rsidRDefault="008916CC" w:rsidP="008916CC"/>
        </w:tc>
        <w:tc>
          <w:tcPr>
            <w:tcW w:w="1440" w:type="dxa"/>
            <w:vMerge/>
            <w:tcBorders>
              <w:left w:val="single" w:sz="8" w:space="0" w:color="auto"/>
              <w:bottom w:val="single" w:sz="4" w:space="0" w:color="auto"/>
              <w:right w:val="single" w:sz="4" w:space="0" w:color="auto"/>
            </w:tcBorders>
            <w:vAlign w:val="center"/>
          </w:tcPr>
          <w:p w14:paraId="25CBB62E" w14:textId="77777777" w:rsidR="008916CC" w:rsidRDefault="008916CC" w:rsidP="008916CC"/>
        </w:tc>
        <w:tc>
          <w:tcPr>
            <w:tcW w:w="1395" w:type="dxa"/>
            <w:tcBorders>
              <w:top w:val="single" w:sz="8" w:space="0" w:color="auto"/>
              <w:left w:val="single" w:sz="4" w:space="0" w:color="auto"/>
              <w:bottom w:val="single" w:sz="8" w:space="0" w:color="auto"/>
              <w:right w:val="single" w:sz="8" w:space="0" w:color="auto"/>
            </w:tcBorders>
            <w:tcMar>
              <w:left w:w="108" w:type="dxa"/>
              <w:right w:w="108" w:type="dxa"/>
            </w:tcMar>
            <w:vAlign w:val="center"/>
          </w:tcPr>
          <w:p w14:paraId="1318CADF" w14:textId="4100364A" w:rsidR="008916CC" w:rsidRPr="65033BF9" w:rsidRDefault="008916CC" w:rsidP="008916CC">
            <w:pPr>
              <w:jc w:val="center"/>
              <w:rPr>
                <w:rFonts w:ascii="Arial" w:eastAsia="Arial" w:hAnsi="Arial" w:cs="Arial"/>
                <w:color w:val="000000" w:themeColor="text1"/>
                <w:szCs w:val="20"/>
              </w:rPr>
            </w:pPr>
            <w:r>
              <w:rPr>
                <w:rFonts w:ascii="Arial" w:eastAsia="Arial" w:hAnsi="Arial" w:cs="Arial"/>
                <w:color w:val="000000" w:themeColor="text1"/>
                <w:szCs w:val="20"/>
              </w:rPr>
              <w:t>Outcome</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2B7D6B" w14:textId="1AF240F9" w:rsidR="008916CC" w:rsidRPr="65033BF9" w:rsidRDefault="008916CC" w:rsidP="008916CC">
            <w:pPr>
              <w:jc w:val="center"/>
              <w:rPr>
                <w:rFonts w:ascii="Arial" w:eastAsia="Arial" w:hAnsi="Arial" w:cs="Arial"/>
                <w:color w:val="000000" w:themeColor="text1"/>
                <w:szCs w:val="20"/>
              </w:rPr>
            </w:pPr>
            <w:r w:rsidRPr="65033BF9">
              <w:rPr>
                <w:rFonts w:ascii="Arial" w:eastAsia="Arial" w:hAnsi="Arial" w:cs="Arial"/>
                <w:color w:val="000000" w:themeColor="text1"/>
                <w:szCs w:val="20"/>
              </w:rPr>
              <w:t>Adult participant will increase or maintain income through the end of the program year</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773262" w14:textId="59FBAFED" w:rsidR="008916CC" w:rsidRPr="65033BF9" w:rsidRDefault="008916CC" w:rsidP="008916CC">
            <w:pPr>
              <w:jc w:val="center"/>
              <w:rPr>
                <w:rFonts w:ascii="Arial" w:eastAsia="Arial" w:hAnsi="Arial" w:cs="Arial"/>
                <w:color w:val="000000" w:themeColor="text1"/>
                <w:szCs w:val="20"/>
              </w:rPr>
            </w:pPr>
            <w:r w:rsidRPr="65033BF9">
              <w:rPr>
                <w:rFonts w:ascii="Arial" w:eastAsia="Arial" w:hAnsi="Arial" w:cs="Arial"/>
                <w:color w:val="000000" w:themeColor="text1"/>
                <w:szCs w:val="20"/>
              </w:rPr>
              <w:t>135 SMPP</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98FCC7" w14:textId="77777777" w:rsidR="008916CC" w:rsidRDefault="008916CC" w:rsidP="008916CC">
            <w:pPr>
              <w:jc w:val="center"/>
            </w:pPr>
            <w:r w:rsidRPr="65033BF9">
              <w:rPr>
                <w:rFonts w:ascii="Arial" w:eastAsia="Arial" w:hAnsi="Arial" w:cs="Arial"/>
                <w:color w:val="000000" w:themeColor="text1"/>
                <w:szCs w:val="20"/>
              </w:rPr>
              <w:t>ServicePoint</w:t>
            </w:r>
          </w:p>
          <w:p w14:paraId="7BD4C27F" w14:textId="3326246D" w:rsidR="008916CC" w:rsidRPr="65033BF9" w:rsidRDefault="008916CC" w:rsidP="008916CC">
            <w:pPr>
              <w:jc w:val="center"/>
              <w:rPr>
                <w:rFonts w:ascii="Arial" w:eastAsia="Arial" w:hAnsi="Arial" w:cs="Arial"/>
                <w:color w:val="000000" w:themeColor="text1"/>
                <w:szCs w:val="20"/>
              </w:rPr>
            </w:pPr>
            <w:r w:rsidRPr="65033BF9">
              <w:rPr>
                <w:rFonts w:ascii="Arial" w:eastAsia="Arial" w:hAnsi="Arial" w:cs="Arial"/>
                <w:color w:val="000000" w:themeColor="text1"/>
                <w:szCs w:val="20"/>
              </w:rPr>
              <w:t xml:space="preserve"> </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tcPr>
          <w:p w14:paraId="59504409" w14:textId="77777777" w:rsidR="008916CC" w:rsidRDefault="008916CC" w:rsidP="008916CC">
            <w:pPr>
              <w:jc w:val="center"/>
            </w:pPr>
            <w:r w:rsidRPr="65033BF9">
              <w:rPr>
                <w:rFonts w:ascii="Arial" w:eastAsia="Arial" w:hAnsi="Arial" w:cs="Arial"/>
                <w:color w:val="000000" w:themeColor="text1"/>
                <w:szCs w:val="20"/>
              </w:rPr>
              <w:t xml:space="preserve"> </w:t>
            </w:r>
          </w:p>
          <w:p w14:paraId="2C368DBB" w14:textId="774EF052" w:rsidR="008916CC" w:rsidRPr="65033BF9" w:rsidRDefault="008916CC" w:rsidP="008916CC">
            <w:pPr>
              <w:jc w:val="center"/>
              <w:rPr>
                <w:rFonts w:ascii="Arial" w:eastAsia="Arial" w:hAnsi="Arial" w:cs="Arial"/>
                <w:color w:val="000000" w:themeColor="text1"/>
                <w:szCs w:val="20"/>
              </w:rPr>
            </w:pPr>
            <w:r w:rsidRPr="65033BF9">
              <w:rPr>
                <w:rFonts w:ascii="Arial" w:eastAsia="Arial" w:hAnsi="Arial" w:cs="Arial"/>
                <w:color w:val="000000" w:themeColor="text1"/>
                <w:szCs w:val="20"/>
              </w:rPr>
              <w:t>118</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2A667EF0" w14:textId="1BD4EA6A" w:rsidR="008916CC" w:rsidRDefault="008916CC" w:rsidP="00FA4C2D">
            <w:pPr>
              <w:jc w:val="center"/>
            </w:pPr>
          </w:p>
          <w:p w14:paraId="43E801B2" w14:textId="5231B0C9" w:rsidR="008916CC" w:rsidRPr="65033BF9" w:rsidRDefault="008916CC" w:rsidP="00FA4C2D">
            <w:pPr>
              <w:jc w:val="center"/>
              <w:rPr>
                <w:rFonts w:ascii="Arial" w:eastAsia="Arial" w:hAnsi="Arial" w:cs="Arial"/>
                <w:color w:val="000000" w:themeColor="text1"/>
                <w:szCs w:val="20"/>
              </w:rPr>
            </w:pPr>
            <w:r w:rsidRPr="63CE5288">
              <w:rPr>
                <w:rFonts w:ascii="Arial" w:eastAsia="Arial" w:hAnsi="Arial" w:cs="Arial"/>
                <w:color w:val="000000" w:themeColor="text1"/>
                <w:szCs w:val="20"/>
              </w:rPr>
              <w:t>134</w:t>
            </w:r>
          </w:p>
        </w:tc>
      </w:tr>
      <w:tr w:rsidR="008916CC" w14:paraId="4C871ED6" w14:textId="77777777" w:rsidTr="00851904">
        <w:trPr>
          <w:trHeight w:val="60"/>
        </w:trPr>
        <w:tc>
          <w:tcPr>
            <w:tcW w:w="390" w:type="dxa"/>
            <w:vMerge w:val="restart"/>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6E6BB51F" w14:textId="6CA7BD8E" w:rsidR="008916CC" w:rsidRDefault="008916CC" w:rsidP="008916CC">
            <w:pPr>
              <w:jc w:val="center"/>
            </w:pPr>
            <w:r w:rsidRPr="65033BF9">
              <w:rPr>
                <w:rFonts w:ascii="Arial" w:eastAsia="Arial" w:hAnsi="Arial" w:cs="Arial"/>
                <w:color w:val="000000" w:themeColor="text1"/>
                <w:szCs w:val="20"/>
              </w:rPr>
              <w:t>2</w:t>
            </w:r>
          </w:p>
        </w:tc>
        <w:tc>
          <w:tcPr>
            <w:tcW w:w="1440" w:type="dxa"/>
            <w:vMerge w:val="restart"/>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34A94684" w14:textId="21F08694" w:rsidR="008916CC" w:rsidRDefault="008916CC" w:rsidP="008916CC">
            <w:pPr>
              <w:jc w:val="center"/>
            </w:pPr>
            <w:r>
              <w:br/>
            </w:r>
            <w:r w:rsidRPr="65033BF9">
              <w:rPr>
                <w:rFonts w:ascii="Arial" w:eastAsia="Arial" w:hAnsi="Arial" w:cs="Arial"/>
                <w:color w:val="000000" w:themeColor="text1"/>
                <w:szCs w:val="20"/>
              </w:rPr>
              <w:t>Mental Health</w:t>
            </w:r>
          </w:p>
        </w:tc>
        <w:tc>
          <w:tcPr>
            <w:tcW w:w="1395" w:type="dxa"/>
            <w:tcBorders>
              <w:top w:val="single" w:sz="8" w:space="0" w:color="auto"/>
              <w:left w:val="single" w:sz="4" w:space="0" w:color="auto"/>
              <w:bottom w:val="single" w:sz="8" w:space="0" w:color="auto"/>
              <w:right w:val="single" w:sz="8" w:space="0" w:color="auto"/>
            </w:tcBorders>
            <w:tcMar>
              <w:left w:w="108" w:type="dxa"/>
              <w:right w:w="108" w:type="dxa"/>
            </w:tcMar>
            <w:vAlign w:val="center"/>
          </w:tcPr>
          <w:p w14:paraId="6A6BB6C9" w14:textId="2714E095" w:rsidR="008916CC" w:rsidRDefault="008916CC" w:rsidP="008916CC">
            <w:pPr>
              <w:jc w:val="center"/>
            </w:pPr>
            <w:r w:rsidRPr="65033BF9">
              <w:rPr>
                <w:rFonts w:ascii="Arial" w:eastAsia="Arial" w:hAnsi="Arial" w:cs="Arial"/>
                <w:color w:val="000000" w:themeColor="text1"/>
                <w:szCs w:val="20"/>
              </w:rPr>
              <w:t>Output</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F3BBAE" w14:textId="0C42EB08" w:rsidR="008916CC" w:rsidRDefault="008916CC" w:rsidP="008916CC">
            <w:pPr>
              <w:jc w:val="center"/>
            </w:pPr>
            <w:r w:rsidRPr="65033BF9">
              <w:rPr>
                <w:rFonts w:ascii="Arial" w:eastAsia="Arial" w:hAnsi="Arial" w:cs="Arial"/>
                <w:color w:val="000000" w:themeColor="text1"/>
                <w:szCs w:val="20"/>
              </w:rPr>
              <w:t>Adult participant will be assessed for mental health service needs and be referred to appropriate internal and external programs</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CEED09" w14:textId="246DA385" w:rsidR="008916CC" w:rsidRDefault="008916CC" w:rsidP="008916CC">
            <w:pPr>
              <w:jc w:val="center"/>
            </w:pPr>
            <w:r w:rsidRPr="65033BF9">
              <w:rPr>
                <w:rFonts w:ascii="Arial" w:eastAsia="Arial" w:hAnsi="Arial" w:cs="Arial"/>
                <w:color w:val="000000" w:themeColor="text1"/>
                <w:szCs w:val="20"/>
              </w:rPr>
              <w:t xml:space="preserve">150 SMPP </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2AD24E" w14:textId="45286474" w:rsidR="008916CC" w:rsidRDefault="008916CC" w:rsidP="008916CC">
            <w:pPr>
              <w:jc w:val="center"/>
            </w:pPr>
            <w:r w:rsidRPr="65033BF9">
              <w:rPr>
                <w:rFonts w:ascii="Arial" w:eastAsia="Arial" w:hAnsi="Arial" w:cs="Arial"/>
                <w:color w:val="000000" w:themeColor="text1"/>
                <w:szCs w:val="20"/>
              </w:rPr>
              <w:t>ServicePoint</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tcPr>
          <w:p w14:paraId="6BBE0483" w14:textId="24561552" w:rsidR="008916CC" w:rsidRDefault="008916CC" w:rsidP="008916CC">
            <w:pPr>
              <w:jc w:val="center"/>
            </w:pPr>
            <w:r w:rsidRPr="65033BF9">
              <w:rPr>
                <w:rFonts w:ascii="Arial" w:eastAsia="Arial" w:hAnsi="Arial" w:cs="Arial"/>
                <w:color w:val="000000" w:themeColor="text1"/>
                <w:szCs w:val="20"/>
              </w:rPr>
              <w:t xml:space="preserve"> </w:t>
            </w:r>
          </w:p>
          <w:p w14:paraId="343A3467" w14:textId="06D0ECCC" w:rsidR="008916CC" w:rsidRDefault="008916CC" w:rsidP="008916CC">
            <w:pPr>
              <w:jc w:val="center"/>
            </w:pPr>
            <w:r w:rsidRPr="65033BF9">
              <w:rPr>
                <w:rFonts w:ascii="Arial" w:eastAsia="Arial" w:hAnsi="Arial" w:cs="Arial"/>
                <w:color w:val="000000" w:themeColor="text1"/>
                <w:szCs w:val="20"/>
              </w:rPr>
              <w:t xml:space="preserve"> </w:t>
            </w:r>
          </w:p>
          <w:p w14:paraId="1F5DBBC0" w14:textId="1F6028A1" w:rsidR="008916CC" w:rsidRDefault="008916CC" w:rsidP="008916CC">
            <w:pPr>
              <w:jc w:val="center"/>
            </w:pPr>
            <w:r w:rsidRPr="65033BF9">
              <w:rPr>
                <w:rFonts w:ascii="Arial" w:eastAsia="Arial" w:hAnsi="Arial" w:cs="Arial"/>
                <w:color w:val="000000" w:themeColor="text1"/>
                <w:szCs w:val="20"/>
              </w:rPr>
              <w:t>74</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60B8FAB2" w14:textId="0353F0FA" w:rsidR="008916CC" w:rsidRDefault="008916CC" w:rsidP="008916CC">
            <w:pPr>
              <w:jc w:val="center"/>
            </w:pPr>
            <w:r w:rsidRPr="65033BF9">
              <w:rPr>
                <w:rFonts w:ascii="Arial" w:eastAsia="Arial" w:hAnsi="Arial" w:cs="Arial"/>
                <w:color w:val="000000" w:themeColor="text1"/>
                <w:szCs w:val="20"/>
              </w:rPr>
              <w:t xml:space="preserve"> </w:t>
            </w:r>
          </w:p>
          <w:p w14:paraId="1A633925" w14:textId="469E06B9" w:rsidR="008916CC" w:rsidRDefault="008916CC" w:rsidP="008916CC">
            <w:pPr>
              <w:jc w:val="center"/>
            </w:pPr>
            <w:r w:rsidRPr="65033BF9">
              <w:rPr>
                <w:rFonts w:ascii="Arial" w:eastAsia="Arial" w:hAnsi="Arial" w:cs="Arial"/>
                <w:color w:val="000000" w:themeColor="text1"/>
                <w:szCs w:val="20"/>
              </w:rPr>
              <w:t xml:space="preserve"> </w:t>
            </w:r>
          </w:p>
          <w:p w14:paraId="2FD527A6" w14:textId="4840C10E" w:rsidR="008916CC" w:rsidRDefault="008916CC" w:rsidP="008916CC">
            <w:pPr>
              <w:jc w:val="center"/>
              <w:rPr>
                <w:rFonts w:ascii="Arial" w:eastAsia="Arial" w:hAnsi="Arial" w:cs="Arial"/>
                <w:color w:val="000000" w:themeColor="text1"/>
                <w:szCs w:val="20"/>
              </w:rPr>
            </w:pPr>
            <w:r w:rsidRPr="65033BF9">
              <w:rPr>
                <w:rFonts w:ascii="Arial" w:eastAsia="Arial" w:hAnsi="Arial" w:cs="Arial"/>
                <w:color w:val="000000" w:themeColor="text1"/>
                <w:szCs w:val="20"/>
              </w:rPr>
              <w:t xml:space="preserve">114 </w:t>
            </w:r>
          </w:p>
        </w:tc>
      </w:tr>
      <w:tr w:rsidR="008916CC" w14:paraId="36791845" w14:textId="77777777" w:rsidTr="00851904">
        <w:trPr>
          <w:trHeight w:val="900"/>
        </w:trPr>
        <w:tc>
          <w:tcPr>
            <w:tcW w:w="390" w:type="dxa"/>
            <w:vMerge/>
            <w:tcBorders>
              <w:top w:val="single" w:sz="8" w:space="0" w:color="auto"/>
              <w:left w:val="single" w:sz="4" w:space="0" w:color="auto"/>
              <w:bottom w:val="single" w:sz="4" w:space="0" w:color="auto"/>
              <w:right w:val="single" w:sz="8" w:space="0" w:color="auto"/>
            </w:tcBorders>
            <w:vAlign w:val="center"/>
          </w:tcPr>
          <w:p w14:paraId="62E20C31" w14:textId="77777777" w:rsidR="008916CC" w:rsidRDefault="008916CC" w:rsidP="008916CC"/>
        </w:tc>
        <w:tc>
          <w:tcPr>
            <w:tcW w:w="1440" w:type="dxa"/>
            <w:vMerge/>
            <w:tcBorders>
              <w:top w:val="single" w:sz="8" w:space="0" w:color="auto"/>
              <w:left w:val="single" w:sz="8" w:space="0" w:color="auto"/>
              <w:bottom w:val="single" w:sz="4" w:space="0" w:color="auto"/>
              <w:right w:val="single" w:sz="4" w:space="0" w:color="auto"/>
            </w:tcBorders>
            <w:vAlign w:val="center"/>
          </w:tcPr>
          <w:p w14:paraId="31CEDACB" w14:textId="77777777" w:rsidR="008916CC" w:rsidRDefault="008916CC" w:rsidP="008916CC"/>
        </w:tc>
        <w:tc>
          <w:tcPr>
            <w:tcW w:w="1395" w:type="dxa"/>
            <w:tcBorders>
              <w:top w:val="single" w:sz="8" w:space="0" w:color="auto"/>
              <w:left w:val="single" w:sz="4" w:space="0" w:color="auto"/>
              <w:bottom w:val="single" w:sz="8" w:space="0" w:color="auto"/>
              <w:right w:val="single" w:sz="8" w:space="0" w:color="auto"/>
            </w:tcBorders>
            <w:tcMar>
              <w:left w:w="108" w:type="dxa"/>
              <w:right w:w="108" w:type="dxa"/>
            </w:tcMar>
            <w:vAlign w:val="center"/>
          </w:tcPr>
          <w:p w14:paraId="0EFC5CCF" w14:textId="3D5F4E2A" w:rsidR="008916CC" w:rsidRDefault="008916CC" w:rsidP="008916CC">
            <w:pPr>
              <w:jc w:val="center"/>
            </w:pPr>
            <w:r w:rsidRPr="65033BF9">
              <w:rPr>
                <w:rFonts w:ascii="Arial" w:eastAsia="Arial" w:hAnsi="Arial" w:cs="Arial"/>
                <w:color w:val="000000" w:themeColor="text1"/>
                <w:szCs w:val="20"/>
              </w:rPr>
              <w:t>Outcome</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A0208C" w14:textId="78AE2807" w:rsidR="008916CC" w:rsidRDefault="008916CC" w:rsidP="008916CC">
            <w:pPr>
              <w:jc w:val="center"/>
            </w:pPr>
            <w:r w:rsidRPr="65033BF9">
              <w:rPr>
                <w:rFonts w:ascii="Arial" w:eastAsia="Arial" w:hAnsi="Arial" w:cs="Arial"/>
                <w:color w:val="000000" w:themeColor="text1"/>
                <w:szCs w:val="20"/>
              </w:rPr>
              <w:t>Adult participant will engage in mental health services</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5AF050" w14:textId="1C4DFA31" w:rsidR="008916CC" w:rsidRDefault="008916CC" w:rsidP="008916CC">
            <w:pPr>
              <w:jc w:val="center"/>
            </w:pPr>
            <w:r w:rsidRPr="65033BF9">
              <w:rPr>
                <w:rFonts w:ascii="Arial" w:eastAsia="Arial" w:hAnsi="Arial" w:cs="Arial"/>
                <w:color w:val="000000" w:themeColor="text1"/>
                <w:szCs w:val="20"/>
              </w:rPr>
              <w:t>50 SMPP</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C6B89B" w14:textId="7D7BFA42" w:rsidR="008916CC" w:rsidRDefault="008916CC" w:rsidP="008916CC">
            <w:pPr>
              <w:jc w:val="center"/>
            </w:pPr>
            <w:r w:rsidRPr="65033BF9">
              <w:rPr>
                <w:rFonts w:ascii="Arial" w:eastAsia="Arial" w:hAnsi="Arial" w:cs="Arial"/>
                <w:color w:val="000000" w:themeColor="text1"/>
                <w:szCs w:val="20"/>
              </w:rPr>
              <w:t>ServicePoint</w:t>
            </w:r>
          </w:p>
        </w:tc>
        <w:tc>
          <w:tcPr>
            <w:tcW w:w="1800" w:type="dxa"/>
            <w:tcBorders>
              <w:top w:val="single" w:sz="8" w:space="0" w:color="auto"/>
              <w:left w:val="single" w:sz="8" w:space="0" w:color="auto"/>
              <w:bottom w:val="single" w:sz="8" w:space="0" w:color="auto"/>
              <w:right w:val="single" w:sz="8" w:space="0" w:color="auto"/>
            </w:tcBorders>
            <w:tcMar>
              <w:left w:w="108" w:type="dxa"/>
              <w:right w:w="108" w:type="dxa"/>
            </w:tcMar>
          </w:tcPr>
          <w:p w14:paraId="29F0AC5F" w14:textId="715317C9" w:rsidR="008916CC" w:rsidRDefault="008916CC" w:rsidP="008916CC">
            <w:pPr>
              <w:jc w:val="center"/>
            </w:pPr>
            <w:r w:rsidRPr="65033BF9">
              <w:rPr>
                <w:rFonts w:ascii="Arial" w:eastAsia="Arial" w:hAnsi="Arial" w:cs="Arial"/>
                <w:color w:val="000000" w:themeColor="text1"/>
                <w:szCs w:val="20"/>
              </w:rPr>
              <w:t xml:space="preserve"> </w:t>
            </w:r>
          </w:p>
          <w:p w14:paraId="75AB6F69" w14:textId="647CE4E5" w:rsidR="008916CC" w:rsidRDefault="008916CC" w:rsidP="008916CC">
            <w:pPr>
              <w:jc w:val="center"/>
            </w:pPr>
            <w:r w:rsidRPr="65033BF9">
              <w:rPr>
                <w:rFonts w:ascii="Arial" w:eastAsia="Arial" w:hAnsi="Arial" w:cs="Arial"/>
                <w:color w:val="000000" w:themeColor="text1"/>
                <w:szCs w:val="20"/>
              </w:rPr>
              <w:t xml:space="preserve">16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621137B6" w14:textId="0EF81150" w:rsidR="008916CC" w:rsidRDefault="008916CC" w:rsidP="008916CC">
            <w:pPr>
              <w:jc w:val="center"/>
            </w:pPr>
            <w:r w:rsidRPr="65033BF9">
              <w:rPr>
                <w:rFonts w:ascii="Arial" w:eastAsia="Arial" w:hAnsi="Arial" w:cs="Arial"/>
                <w:color w:val="000000" w:themeColor="text1"/>
                <w:szCs w:val="20"/>
              </w:rPr>
              <w:t xml:space="preserve"> </w:t>
            </w:r>
          </w:p>
          <w:p w14:paraId="46D9D4D1" w14:textId="7F44A941" w:rsidR="008916CC" w:rsidRDefault="008916CC" w:rsidP="008916CC">
            <w:pPr>
              <w:jc w:val="center"/>
              <w:rPr>
                <w:rFonts w:ascii="Arial" w:eastAsia="Arial" w:hAnsi="Arial" w:cs="Arial"/>
                <w:color w:val="000000" w:themeColor="text1"/>
                <w:szCs w:val="20"/>
              </w:rPr>
            </w:pPr>
            <w:r w:rsidRPr="65033BF9">
              <w:rPr>
                <w:rFonts w:ascii="Arial" w:eastAsia="Arial" w:hAnsi="Arial" w:cs="Arial"/>
                <w:color w:val="000000" w:themeColor="text1"/>
                <w:szCs w:val="20"/>
              </w:rPr>
              <w:t>33</w:t>
            </w:r>
          </w:p>
        </w:tc>
      </w:tr>
    </w:tbl>
    <w:p w14:paraId="6E673B9B" w14:textId="1DA281E8" w:rsidR="00BC5CA7" w:rsidRPr="002155E0" w:rsidRDefault="00BC5CA7" w:rsidP="65033BF9">
      <w:pPr>
        <w:tabs>
          <w:tab w:val="left" w:pos="114"/>
          <w:tab w:val="left" w:pos="294"/>
          <w:tab w:val="left" w:pos="2160"/>
          <w:tab w:val="left" w:pos="2520"/>
          <w:tab w:val="left" w:pos="3600"/>
          <w:tab w:val="left" w:pos="4320"/>
          <w:tab w:val="left" w:pos="4860"/>
          <w:tab w:val="left" w:pos="5760"/>
        </w:tabs>
        <w:jc w:val="both"/>
        <w:rPr>
          <w:rFonts w:ascii="Arial" w:hAnsi="Arial" w:cs="Arial"/>
          <w:sz w:val="21"/>
          <w:szCs w:val="21"/>
        </w:rPr>
      </w:pPr>
    </w:p>
    <w:p w14:paraId="356759F4" w14:textId="4D30FDA4" w:rsidR="004B2A13" w:rsidRDefault="004B2A13" w:rsidP="65033BF9">
      <w:pPr>
        <w:jc w:val="both"/>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06A879CB" w14:textId="216D40D5" w:rsidR="00BF7E36" w:rsidRPr="00BF7E36" w:rsidRDefault="14DDAC62" w:rsidP="65033BF9">
      <w:pPr>
        <w:jc w:val="both"/>
      </w:pPr>
      <w:r w:rsidRPr="65033BF9">
        <w:rPr>
          <w:rFonts w:ascii="Arial" w:eastAsia="Arial" w:hAnsi="Arial" w:cs="Arial"/>
          <w:b/>
          <w:bCs/>
          <w:sz w:val="21"/>
          <w:szCs w:val="21"/>
        </w:rPr>
        <w:t xml:space="preserve"> </w:t>
      </w: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4A6AEAD3" w14:textId="34EDA3DB" w:rsidR="00F97372" w:rsidRDefault="00F97372" w:rsidP="65033B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54889DC4" w14:textId="18E24B07" w:rsidR="008B0239" w:rsidRDefault="008B0239" w:rsidP="65033B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3C3AE6">
        <w:rPr>
          <w:b/>
          <w:bCs/>
          <w:u w:val="single"/>
        </w:rPr>
        <w:t>Outputs/Outcomes 10% above target</w:t>
      </w:r>
    </w:p>
    <w:p w14:paraId="2BF1A905" w14:textId="618C6D37" w:rsidR="008B0239" w:rsidRPr="00C40BC2" w:rsidRDefault="00415412" w:rsidP="00D62E18">
      <w:pPr>
        <w:pStyle w:val="ListParagraph"/>
        <w:numPr>
          <w:ilvl w:val="0"/>
          <w:numId w:val="24"/>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bCs/>
        </w:rPr>
      </w:pPr>
      <w:r w:rsidRPr="00C40BC2">
        <w:rPr>
          <w:b/>
          <w:bCs/>
        </w:rPr>
        <w:t>Total participants</w:t>
      </w:r>
      <w:r w:rsidR="00C40BC2">
        <w:rPr>
          <w:b/>
          <w:bCs/>
        </w:rPr>
        <w:t xml:space="preserve">: </w:t>
      </w:r>
      <w:r w:rsidR="00C40BC2">
        <w:t xml:space="preserve">169 adult participants were served </w:t>
      </w:r>
      <w:r w:rsidR="00C6356E">
        <w:t>this fiscal year, which is 13% above the target of 150. The</w:t>
      </w:r>
      <w:r w:rsidR="00763788">
        <w:t xml:space="preserve"> need for housing retention</w:t>
      </w:r>
      <w:r w:rsidR="006365CA">
        <w:t xml:space="preserve"> and other supportive</w:t>
      </w:r>
      <w:r w:rsidR="00763788">
        <w:t xml:space="preserve"> services continued to increase as COVID rent</w:t>
      </w:r>
      <w:r w:rsidR="00B36227">
        <w:t>er</w:t>
      </w:r>
      <w:r w:rsidR="00763788">
        <w:t xml:space="preserve"> protections</w:t>
      </w:r>
      <w:r w:rsidR="006365CA">
        <w:t xml:space="preserve"> lifted</w:t>
      </w:r>
      <w:r w:rsidR="00B36227">
        <w:t xml:space="preserve">, more individuals </w:t>
      </w:r>
      <w:r w:rsidR="005950A3">
        <w:t>sought</w:t>
      </w:r>
      <w:r w:rsidR="00B36227">
        <w:t xml:space="preserve"> </w:t>
      </w:r>
      <w:r w:rsidR="005950A3">
        <w:t>new employment opportunities</w:t>
      </w:r>
      <w:r w:rsidR="00B36227">
        <w:t xml:space="preserve">, and households faced </w:t>
      </w:r>
      <w:r w:rsidR="00FC6131">
        <w:t>increased cost of living due to inflation.</w:t>
      </w:r>
      <w:r w:rsidR="00843D72">
        <w:t xml:space="preserve"> Of the 169 clients served, </w:t>
      </w:r>
      <w:r w:rsidR="00C5505A">
        <w:t xml:space="preserve">95% maintained housing </w:t>
      </w:r>
      <w:r w:rsidR="00BF1D2A">
        <w:t xml:space="preserve">through the end of the year, which is higher than the target of 90%. Of the 8 clients who did not maintain their housing: </w:t>
      </w:r>
      <w:r w:rsidR="001A74EE">
        <w:t>4</w:t>
      </w:r>
      <w:r w:rsidR="00BF1D2A">
        <w:t xml:space="preserve"> participants passed away, 1 was lost to follow up and is presumed homeless, </w:t>
      </w:r>
      <w:r w:rsidR="00F8204F">
        <w:t xml:space="preserve">2 </w:t>
      </w:r>
      <w:r w:rsidR="00E42FBA">
        <w:t>moved to temporary living situations with friends/family</w:t>
      </w:r>
      <w:r w:rsidR="00F8204F">
        <w:t>, and 1 client lost</w:t>
      </w:r>
      <w:r w:rsidR="00EF1587">
        <w:t xml:space="preserve"> his housing and staff are working with them to </w:t>
      </w:r>
      <w:r w:rsidR="002B40FE">
        <w:t>identify new housing.</w:t>
      </w:r>
      <w:r w:rsidR="008B7D3A">
        <w:t xml:space="preserve"> </w:t>
      </w:r>
    </w:p>
    <w:p w14:paraId="155D93FD" w14:textId="77777777" w:rsidR="00B33F9B" w:rsidRDefault="00B33F9B" w:rsidP="00340223">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0839823C" w14:textId="4BF61158" w:rsidR="00B33F9B" w:rsidRDefault="00B33F9B" w:rsidP="00340223">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Pr>
          <w:b/>
          <w:bCs/>
          <w:u w:val="single"/>
        </w:rPr>
        <w:t>Outputs/outcomes 10% below target</w:t>
      </w:r>
    </w:p>
    <w:p w14:paraId="02FD2B5D" w14:textId="77777777" w:rsidR="007A2D68" w:rsidRDefault="007A2D68" w:rsidP="00340223">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1815CDAF" w14:textId="08B1F0C9" w:rsidR="007A2D68" w:rsidRPr="003C3AE6" w:rsidRDefault="007A2D68" w:rsidP="003C3AE6">
      <w:pPr>
        <w:pStyle w:val="ListParagraph"/>
        <w:numPr>
          <w:ilvl w:val="0"/>
          <w:numId w:val="24"/>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bCs/>
        </w:rPr>
      </w:pPr>
      <w:r w:rsidRPr="003C3AE6">
        <w:rPr>
          <w:b/>
          <w:bCs/>
        </w:rPr>
        <w:t>Adult participant will increase or maintain income through the end of the program year</w:t>
      </w:r>
      <w:r w:rsidR="004469B0">
        <w:rPr>
          <w:b/>
          <w:bCs/>
        </w:rPr>
        <w:t xml:space="preserve">: </w:t>
      </w:r>
      <w:r w:rsidR="004469B0">
        <w:t>134</w:t>
      </w:r>
      <w:r w:rsidR="009865E4">
        <w:t xml:space="preserve">/169 (79%) of participants increased or maintained their income, which is below the target of </w:t>
      </w:r>
      <w:r w:rsidR="00D20571">
        <w:t>90%.</w:t>
      </w:r>
      <w:r w:rsidR="00463556">
        <w:t xml:space="preserve"> </w:t>
      </w:r>
      <w:r w:rsidR="004046BD">
        <w:t>With shifts in the job market, a</w:t>
      </w:r>
      <w:r w:rsidR="00CF59BD">
        <w:t xml:space="preserve"> number of clients lost their employmen</w:t>
      </w:r>
      <w:r w:rsidR="00D747D4">
        <w:t>t and are still seeking work or secured jobs that pay less, causing a dec</w:t>
      </w:r>
      <w:r w:rsidR="009C2BA5">
        <w:t>rease in their overall income.</w:t>
      </w:r>
      <w:r w:rsidR="00530079">
        <w:t xml:space="preserve"> </w:t>
      </w:r>
      <w:r w:rsidR="00CB4F32">
        <w:t xml:space="preserve">In addition, </w:t>
      </w:r>
      <w:r w:rsidR="00463FCE">
        <w:t xml:space="preserve">the wait time for processing benefits applications has been lengthy. </w:t>
      </w:r>
      <w:r w:rsidR="00530079">
        <w:t xml:space="preserve">Staff work with clients </w:t>
      </w:r>
      <w:r w:rsidR="00B84664">
        <w:t>regarding employment services and benefits</w:t>
      </w:r>
      <w:r w:rsidR="00857910">
        <w:t xml:space="preserve"> </w:t>
      </w:r>
      <w:r w:rsidR="00EE0B88">
        <w:t>to support with income development</w:t>
      </w:r>
      <w:r w:rsidR="00B84664">
        <w:t>.</w:t>
      </w:r>
    </w:p>
    <w:p w14:paraId="36AFE1E4" w14:textId="77777777" w:rsidR="007A2D68" w:rsidRPr="003C3AE6" w:rsidRDefault="007A2D68" w:rsidP="00340223">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050EE1D7" w14:textId="46F156BE" w:rsidR="00417F47" w:rsidRPr="00910007" w:rsidRDefault="6D8992F2" w:rsidP="003C3AE6">
      <w:pPr>
        <w:pStyle w:val="ListParagraph"/>
        <w:numPr>
          <w:ilvl w:val="0"/>
          <w:numId w:val="2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sidRPr="00910007">
        <w:rPr>
          <w:rFonts w:ascii="Arial" w:eastAsia="Arial" w:hAnsi="Arial" w:cs="Arial"/>
          <w:b/>
          <w:bCs/>
          <w:color w:val="000000" w:themeColor="text1"/>
          <w:sz w:val="21"/>
          <w:szCs w:val="21"/>
        </w:rPr>
        <w:t>150 adult participants will be assessed for mental health service needs and be referred to appropriate internal and external programs:</w:t>
      </w:r>
      <w:r w:rsidR="00551F40" w:rsidRPr="00910007">
        <w:rPr>
          <w:rFonts w:ascii="Arial" w:eastAsia="Arial" w:hAnsi="Arial" w:cs="Arial"/>
          <w:b/>
          <w:bCs/>
          <w:color w:val="000000" w:themeColor="text1"/>
          <w:sz w:val="21"/>
          <w:szCs w:val="21"/>
        </w:rPr>
        <w:t xml:space="preserve"> </w:t>
      </w:r>
      <w:r w:rsidR="7D5855B3" w:rsidRPr="00910007">
        <w:rPr>
          <w:rFonts w:ascii="Arial" w:hAnsi="Arial" w:cs="Arial"/>
          <w:sz w:val="21"/>
          <w:szCs w:val="21"/>
        </w:rPr>
        <w:t>114/169 (67%) of participants received a mental health screening during FY 22-23.</w:t>
      </w:r>
      <w:r w:rsidR="284A20B9" w:rsidRPr="00910007">
        <w:rPr>
          <w:rFonts w:ascii="Arial" w:hAnsi="Arial" w:cs="Arial"/>
          <w:sz w:val="21"/>
          <w:szCs w:val="21"/>
        </w:rPr>
        <w:t xml:space="preserve"> 1</w:t>
      </w:r>
      <w:r w:rsidR="007137B6" w:rsidRPr="00910007">
        <w:rPr>
          <w:rFonts w:ascii="Arial" w:hAnsi="Arial" w:cs="Arial"/>
          <w:sz w:val="21"/>
          <w:szCs w:val="21"/>
        </w:rPr>
        <w:t>6</w:t>
      </w:r>
      <w:r w:rsidR="284A20B9" w:rsidRPr="00910007">
        <w:rPr>
          <w:rFonts w:ascii="Arial" w:hAnsi="Arial" w:cs="Arial"/>
          <w:sz w:val="21"/>
          <w:szCs w:val="21"/>
        </w:rPr>
        <w:t xml:space="preserve"> participants were unable to receive a reassessment due to program exit (see Section 1). The remaining outstanding </w:t>
      </w:r>
      <w:r w:rsidR="11ACF16B" w:rsidRPr="00910007">
        <w:rPr>
          <w:rFonts w:ascii="Arial" w:hAnsi="Arial" w:cs="Arial"/>
          <w:sz w:val="21"/>
          <w:szCs w:val="21"/>
        </w:rPr>
        <w:t xml:space="preserve">assessments </w:t>
      </w:r>
      <w:r w:rsidR="00A65936" w:rsidRPr="00910007">
        <w:rPr>
          <w:rFonts w:ascii="Arial" w:hAnsi="Arial" w:cs="Arial"/>
          <w:sz w:val="21"/>
          <w:szCs w:val="21"/>
        </w:rPr>
        <w:t>were due to clients declining the assessment</w:t>
      </w:r>
      <w:r w:rsidR="003461A7" w:rsidRPr="00910007">
        <w:rPr>
          <w:rFonts w:ascii="Arial" w:hAnsi="Arial" w:cs="Arial"/>
          <w:sz w:val="21"/>
          <w:szCs w:val="21"/>
        </w:rPr>
        <w:t xml:space="preserve"> due to the sensitivity </w:t>
      </w:r>
      <w:r w:rsidR="004F24C2" w:rsidRPr="00910007">
        <w:rPr>
          <w:rFonts w:ascii="Arial" w:hAnsi="Arial" w:cs="Arial"/>
          <w:sz w:val="21"/>
          <w:szCs w:val="21"/>
        </w:rPr>
        <w:t>and stigma around mental health service</w:t>
      </w:r>
      <w:r w:rsidR="005C015A" w:rsidRPr="00910007">
        <w:rPr>
          <w:rFonts w:ascii="Arial" w:hAnsi="Arial" w:cs="Arial"/>
          <w:sz w:val="21"/>
          <w:szCs w:val="21"/>
        </w:rPr>
        <w:t>s</w:t>
      </w:r>
      <w:r w:rsidR="00D809DD" w:rsidRPr="00910007">
        <w:rPr>
          <w:rFonts w:ascii="Arial" w:hAnsi="Arial" w:cs="Arial"/>
          <w:sz w:val="21"/>
          <w:szCs w:val="21"/>
        </w:rPr>
        <w:t xml:space="preserve"> and/or clients who were not actively engaged in the program</w:t>
      </w:r>
      <w:r w:rsidR="11ACF16B" w:rsidRPr="00910007">
        <w:rPr>
          <w:rFonts w:ascii="Arial" w:hAnsi="Arial" w:cs="Arial"/>
          <w:sz w:val="21"/>
          <w:szCs w:val="21"/>
        </w:rPr>
        <w:t xml:space="preserve">. </w:t>
      </w:r>
      <w:r w:rsidR="005C015A" w:rsidRPr="00910007">
        <w:rPr>
          <w:rFonts w:ascii="Arial" w:hAnsi="Arial" w:cs="Arial"/>
          <w:sz w:val="21"/>
          <w:szCs w:val="21"/>
        </w:rPr>
        <w:t>New clients receive a mental health assessment as part of their intake, and then receive an annual assessment.</w:t>
      </w:r>
      <w:r w:rsidR="003C3AE6" w:rsidRPr="00910007">
        <w:rPr>
          <w:rFonts w:ascii="Arial" w:hAnsi="Arial" w:cs="Arial"/>
          <w:sz w:val="21"/>
          <w:szCs w:val="21"/>
        </w:rPr>
        <w:t xml:space="preserve"> </w:t>
      </w:r>
      <w:r w:rsidR="00E27223" w:rsidRPr="00910007">
        <w:rPr>
          <w:rFonts w:ascii="Arial" w:hAnsi="Arial" w:cs="Arial"/>
          <w:sz w:val="21"/>
          <w:szCs w:val="21"/>
        </w:rPr>
        <w:t xml:space="preserve">However, </w:t>
      </w:r>
      <w:r w:rsidR="00CA4A98">
        <w:rPr>
          <w:rFonts w:ascii="Arial" w:hAnsi="Arial" w:cs="Arial"/>
          <w:sz w:val="21"/>
          <w:szCs w:val="21"/>
        </w:rPr>
        <w:t>for clients who were screened, t</w:t>
      </w:r>
      <w:r w:rsidR="00E27223" w:rsidRPr="00910007">
        <w:rPr>
          <w:rFonts w:ascii="Arial" w:hAnsi="Arial" w:cs="Arial"/>
          <w:sz w:val="21"/>
          <w:szCs w:val="21"/>
        </w:rPr>
        <w:t xml:space="preserve">he team was able to connect 29% (33/114) of adult participants screened </w:t>
      </w:r>
      <w:r w:rsidR="00130B1C" w:rsidRPr="00910007">
        <w:rPr>
          <w:rFonts w:ascii="Arial" w:hAnsi="Arial" w:cs="Arial"/>
          <w:sz w:val="21"/>
          <w:szCs w:val="21"/>
        </w:rPr>
        <w:t>to</w:t>
      </w:r>
      <w:r w:rsidR="00E27223" w:rsidRPr="00910007">
        <w:rPr>
          <w:rFonts w:ascii="Arial" w:hAnsi="Arial" w:cs="Arial"/>
          <w:sz w:val="21"/>
          <w:szCs w:val="21"/>
        </w:rPr>
        <w:t xml:space="preserve"> mental health services, which is</w:t>
      </w:r>
      <w:r w:rsidR="00130B1C" w:rsidRPr="00910007">
        <w:rPr>
          <w:rFonts w:ascii="Arial" w:hAnsi="Arial" w:cs="Arial"/>
          <w:sz w:val="21"/>
          <w:szCs w:val="21"/>
        </w:rPr>
        <w:t xml:space="preserve"> within 10% of the target of 33%.</w:t>
      </w:r>
      <w:r w:rsidR="00316437" w:rsidRPr="00910007">
        <w:rPr>
          <w:rFonts w:ascii="Arial" w:hAnsi="Arial" w:cs="Arial"/>
          <w:sz w:val="21"/>
          <w:szCs w:val="21"/>
        </w:rPr>
        <w:t xml:space="preserve"> </w:t>
      </w:r>
    </w:p>
    <w:p w14:paraId="06585058" w14:textId="77777777" w:rsidR="00417F47" w:rsidRPr="00910007" w:rsidRDefault="00417F47" w:rsidP="003C3AE6">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1A9D9E74" w14:textId="65F2D34F" w:rsidR="00917EA3" w:rsidRPr="000035F6" w:rsidRDefault="00130B1C" w:rsidP="003C3AE6">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rPr>
      </w:pPr>
      <w:r w:rsidRPr="0DAB8AB7">
        <w:rPr>
          <w:rFonts w:ascii="Arial" w:hAnsi="Arial"/>
          <w:sz w:val="21"/>
          <w:szCs w:val="21"/>
        </w:rPr>
        <w:t xml:space="preserve">To address mental health screening and </w:t>
      </w:r>
      <w:r w:rsidR="009A3825" w:rsidRPr="0DAB8AB7">
        <w:rPr>
          <w:rFonts w:ascii="Arial" w:hAnsi="Arial"/>
          <w:sz w:val="21"/>
          <w:szCs w:val="21"/>
        </w:rPr>
        <w:t xml:space="preserve">service needs, </w:t>
      </w:r>
      <w:r w:rsidR="00B34AA9" w:rsidRPr="0DAB8AB7">
        <w:rPr>
          <w:rFonts w:ascii="Arial" w:hAnsi="Arial"/>
          <w:sz w:val="21"/>
          <w:szCs w:val="21"/>
        </w:rPr>
        <w:t>staff</w:t>
      </w:r>
      <w:r w:rsidR="000035F6" w:rsidRPr="0DAB8AB7">
        <w:rPr>
          <w:rFonts w:ascii="Arial" w:hAnsi="Arial"/>
          <w:sz w:val="21"/>
          <w:szCs w:val="21"/>
        </w:rPr>
        <w:t xml:space="preserve"> continue to work with City personnel and staff at partner agencies to develop creative strategies to increase engagement with</w:t>
      </w:r>
      <w:r w:rsidR="007742B8" w:rsidRPr="0DAB8AB7">
        <w:rPr>
          <w:rFonts w:ascii="Arial" w:hAnsi="Arial"/>
          <w:sz w:val="21"/>
          <w:szCs w:val="21"/>
        </w:rPr>
        <w:t xml:space="preserve"> clients and address the stigma around mental health services.</w:t>
      </w:r>
      <w:r w:rsidR="003C3AE6">
        <w:rPr>
          <w:rFonts w:ascii="Arial" w:hAnsi="Arial"/>
          <w:sz w:val="21"/>
          <w:szCs w:val="21"/>
        </w:rPr>
        <w:t xml:space="preserve"> </w:t>
      </w:r>
      <w:r w:rsidR="00E94082" w:rsidRPr="003C3AE6">
        <w:rPr>
          <w:rFonts w:ascii="Arial" w:hAnsi="Arial"/>
          <w:sz w:val="21"/>
          <w:szCs w:val="21"/>
        </w:rPr>
        <w:t xml:space="preserve">In addition, </w:t>
      </w:r>
      <w:r w:rsidR="00E94082" w:rsidRPr="0DAB8AB7">
        <w:rPr>
          <w:rFonts w:eastAsia="Arial" w:cs="Arial"/>
          <w:color w:val="000000" w:themeColor="text1"/>
        </w:rPr>
        <w:t>t</w:t>
      </w:r>
      <w:r w:rsidR="00917EA3" w:rsidRPr="0DAB8AB7">
        <w:rPr>
          <w:rFonts w:eastAsia="Arial" w:cs="Arial"/>
          <w:color w:val="000000" w:themeColor="text1"/>
        </w:rPr>
        <w:t xml:space="preserve">he extended vacancy of the mental health specialist position, as well as the shortage of available mental health services providers in Service Area 5. SM Retention Program Manager and Director will continue to work with the internal Human Resources department to fill the Mental Health Specialist position. SM Retention staff will also continue to work with internal and external partners to refer clients to mental health services. </w:t>
      </w:r>
    </w:p>
    <w:p w14:paraId="227B7ADF" w14:textId="77777777" w:rsidR="006A4CFF" w:rsidRPr="00917EA3" w:rsidRDefault="006A4CFF" w:rsidP="003C3AE6">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310AA49" w14:textId="77777777" w:rsidR="00851904" w:rsidRDefault="00851904"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3E87B16" w14:textId="7498D174" w:rsidR="006A4CFF" w:rsidRDefault="00280EE5"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b/>
          <w:sz w:val="21"/>
        </w:rPr>
        <w:t>n/a</w:t>
      </w: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D67F112" w14:textId="0644B939" w:rsidR="003C3283" w:rsidRPr="00280EE5" w:rsidRDefault="007D3B4E" w:rsidP="00280EE5">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w:t>
      </w:r>
    </w:p>
    <w:sectPr w:rsidR="003C3283" w:rsidRPr="00280EE5"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7E4B" w14:textId="77777777" w:rsidR="009A0F28" w:rsidRDefault="009A0F28">
      <w:r>
        <w:separator/>
      </w:r>
    </w:p>
  </w:endnote>
  <w:endnote w:type="continuationSeparator" w:id="0">
    <w:p w14:paraId="165F5820" w14:textId="77777777" w:rsidR="009A0F28" w:rsidRDefault="009A0F28">
      <w:r>
        <w:continuationSeparator/>
      </w:r>
    </w:p>
  </w:endnote>
  <w:endnote w:type="continuationNotice" w:id="1">
    <w:p w14:paraId="28EB71A8" w14:textId="77777777" w:rsidR="009A0F28" w:rsidRDefault="009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9E667" w14:textId="77777777" w:rsidR="009A0F28" w:rsidRDefault="009A0F28">
      <w:r>
        <w:separator/>
      </w:r>
    </w:p>
  </w:footnote>
  <w:footnote w:type="continuationSeparator" w:id="0">
    <w:p w14:paraId="2F258706" w14:textId="77777777" w:rsidR="009A0F28" w:rsidRDefault="009A0F28">
      <w:r>
        <w:continuationSeparator/>
      </w:r>
    </w:p>
  </w:footnote>
  <w:footnote w:type="continuationNotice" w:id="1">
    <w:p w14:paraId="6938CCCF" w14:textId="77777777" w:rsidR="009A0F28" w:rsidRDefault="009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intelligence2.xml><?xml version="1.0" encoding="utf-8"?>
<int2:intelligence xmlns:int2="http://schemas.microsoft.com/office/intelligence/2020/intelligence" xmlns:oel="http://schemas.microsoft.com/office/2019/extlst">
  <int2:observations>
    <int2:textHash int2:hashCode="mukz/FbGdCalXW" int2:id="eFINmvFO">
      <int2:state int2:value="Rejected" int2:type="AugLoop_Text_Critique"/>
    </int2:textHash>
    <int2:textHash int2:hashCode="BC3EUS+j05HFFw" int2:id="gKEAtlv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472E954"/>
    <w:multiLevelType w:val="hybridMultilevel"/>
    <w:tmpl w:val="279A8BAC"/>
    <w:lvl w:ilvl="0" w:tplc="CDF27B62">
      <w:start w:val="1"/>
      <w:numFmt w:val="decimal"/>
      <w:lvlText w:val="%1."/>
      <w:lvlJc w:val="left"/>
      <w:pPr>
        <w:ind w:left="720" w:hanging="360"/>
      </w:pPr>
    </w:lvl>
    <w:lvl w:ilvl="1" w:tplc="F2DED788">
      <w:start w:val="1"/>
      <w:numFmt w:val="lowerLetter"/>
      <w:lvlText w:val="%2."/>
      <w:lvlJc w:val="left"/>
      <w:pPr>
        <w:ind w:left="1440" w:hanging="360"/>
      </w:pPr>
    </w:lvl>
    <w:lvl w:ilvl="2" w:tplc="245E9824">
      <w:start w:val="1"/>
      <w:numFmt w:val="lowerRoman"/>
      <w:lvlText w:val="%3."/>
      <w:lvlJc w:val="right"/>
      <w:pPr>
        <w:ind w:left="2160" w:hanging="180"/>
      </w:pPr>
    </w:lvl>
    <w:lvl w:ilvl="3" w:tplc="2F3ECECA">
      <w:start w:val="1"/>
      <w:numFmt w:val="decimal"/>
      <w:lvlText w:val="%4."/>
      <w:lvlJc w:val="left"/>
      <w:pPr>
        <w:ind w:left="2880" w:hanging="360"/>
      </w:pPr>
    </w:lvl>
    <w:lvl w:ilvl="4" w:tplc="D9E24F62">
      <w:start w:val="1"/>
      <w:numFmt w:val="lowerLetter"/>
      <w:lvlText w:val="%5."/>
      <w:lvlJc w:val="left"/>
      <w:pPr>
        <w:ind w:left="3600" w:hanging="360"/>
      </w:pPr>
    </w:lvl>
    <w:lvl w:ilvl="5" w:tplc="C1E60F36">
      <w:start w:val="1"/>
      <w:numFmt w:val="lowerRoman"/>
      <w:lvlText w:val="%6."/>
      <w:lvlJc w:val="right"/>
      <w:pPr>
        <w:ind w:left="4320" w:hanging="180"/>
      </w:pPr>
    </w:lvl>
    <w:lvl w:ilvl="6" w:tplc="0590A192">
      <w:start w:val="1"/>
      <w:numFmt w:val="decimal"/>
      <w:lvlText w:val="%7."/>
      <w:lvlJc w:val="left"/>
      <w:pPr>
        <w:ind w:left="5040" w:hanging="360"/>
      </w:pPr>
    </w:lvl>
    <w:lvl w:ilvl="7" w:tplc="CDF26E00">
      <w:start w:val="1"/>
      <w:numFmt w:val="lowerLetter"/>
      <w:lvlText w:val="%8."/>
      <w:lvlJc w:val="left"/>
      <w:pPr>
        <w:ind w:left="5760" w:hanging="360"/>
      </w:pPr>
    </w:lvl>
    <w:lvl w:ilvl="8" w:tplc="69382886">
      <w:start w:val="1"/>
      <w:numFmt w:val="lowerRoman"/>
      <w:lvlText w:val="%9."/>
      <w:lvlJc w:val="right"/>
      <w:pPr>
        <w:ind w:left="6480" w:hanging="180"/>
      </w:pPr>
    </w:lvl>
  </w:abstractNum>
  <w:abstractNum w:abstractNumId="4" w15:restartNumberingAfterBreak="0">
    <w:nsid w:val="05E30639"/>
    <w:multiLevelType w:val="hybridMultilevel"/>
    <w:tmpl w:val="4142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C7C62"/>
    <w:multiLevelType w:val="hybridMultilevel"/>
    <w:tmpl w:val="054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D36C"/>
    <w:multiLevelType w:val="hybridMultilevel"/>
    <w:tmpl w:val="CC4AA83C"/>
    <w:lvl w:ilvl="0" w:tplc="9170DE12">
      <w:start w:val="1"/>
      <w:numFmt w:val="lowerLetter"/>
      <w:lvlText w:val="%1."/>
      <w:lvlJc w:val="left"/>
      <w:pPr>
        <w:ind w:left="720" w:hanging="360"/>
      </w:pPr>
    </w:lvl>
    <w:lvl w:ilvl="1" w:tplc="F30EF402">
      <w:start w:val="1"/>
      <w:numFmt w:val="lowerLetter"/>
      <w:lvlText w:val="%2."/>
      <w:lvlJc w:val="left"/>
      <w:pPr>
        <w:ind w:left="1440" w:hanging="360"/>
      </w:pPr>
    </w:lvl>
    <w:lvl w:ilvl="2" w:tplc="AFBE9316">
      <w:start w:val="1"/>
      <w:numFmt w:val="lowerRoman"/>
      <w:lvlText w:val="%3."/>
      <w:lvlJc w:val="right"/>
      <w:pPr>
        <w:ind w:left="2160" w:hanging="180"/>
      </w:pPr>
    </w:lvl>
    <w:lvl w:ilvl="3" w:tplc="46FCB538">
      <w:start w:val="1"/>
      <w:numFmt w:val="decimal"/>
      <w:lvlText w:val="%4."/>
      <w:lvlJc w:val="left"/>
      <w:pPr>
        <w:ind w:left="2880" w:hanging="360"/>
      </w:pPr>
    </w:lvl>
    <w:lvl w:ilvl="4" w:tplc="CD108044">
      <w:start w:val="1"/>
      <w:numFmt w:val="lowerLetter"/>
      <w:lvlText w:val="%5."/>
      <w:lvlJc w:val="left"/>
      <w:pPr>
        <w:ind w:left="3600" w:hanging="360"/>
      </w:pPr>
    </w:lvl>
    <w:lvl w:ilvl="5" w:tplc="53F8C126">
      <w:start w:val="1"/>
      <w:numFmt w:val="lowerRoman"/>
      <w:lvlText w:val="%6."/>
      <w:lvlJc w:val="right"/>
      <w:pPr>
        <w:ind w:left="4320" w:hanging="180"/>
      </w:pPr>
    </w:lvl>
    <w:lvl w:ilvl="6" w:tplc="596A9626">
      <w:start w:val="1"/>
      <w:numFmt w:val="decimal"/>
      <w:lvlText w:val="%7."/>
      <w:lvlJc w:val="left"/>
      <w:pPr>
        <w:ind w:left="5040" w:hanging="360"/>
      </w:pPr>
    </w:lvl>
    <w:lvl w:ilvl="7" w:tplc="D7CAD88E">
      <w:start w:val="1"/>
      <w:numFmt w:val="lowerLetter"/>
      <w:lvlText w:val="%8."/>
      <w:lvlJc w:val="left"/>
      <w:pPr>
        <w:ind w:left="5760" w:hanging="360"/>
      </w:pPr>
    </w:lvl>
    <w:lvl w:ilvl="8" w:tplc="3C18EA5C">
      <w:start w:val="1"/>
      <w:numFmt w:val="lowerRoman"/>
      <w:lvlText w:val="%9."/>
      <w:lvlJc w:val="right"/>
      <w:pPr>
        <w:ind w:left="6480" w:hanging="180"/>
      </w:pPr>
    </w:lvl>
  </w:abstractNum>
  <w:abstractNum w:abstractNumId="7" w15:restartNumberingAfterBreak="0">
    <w:nsid w:val="1AC41442"/>
    <w:multiLevelType w:val="hybridMultilevel"/>
    <w:tmpl w:val="902C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3D70"/>
    <w:multiLevelType w:val="multilevel"/>
    <w:tmpl w:val="5F5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8604B"/>
    <w:multiLevelType w:val="hybridMultilevel"/>
    <w:tmpl w:val="F1F61180"/>
    <w:lvl w:ilvl="0" w:tplc="9CD87332">
      <w:start w:val="1"/>
      <w:numFmt w:val="decimal"/>
      <w:lvlText w:val="%1."/>
      <w:lvlJc w:val="left"/>
      <w:pPr>
        <w:ind w:left="720" w:hanging="360"/>
      </w:pPr>
    </w:lvl>
    <w:lvl w:ilvl="1" w:tplc="DC703F58">
      <w:start w:val="1"/>
      <w:numFmt w:val="lowerLetter"/>
      <w:lvlText w:val="%2."/>
      <w:lvlJc w:val="left"/>
      <w:pPr>
        <w:ind w:left="1440" w:hanging="360"/>
      </w:pPr>
    </w:lvl>
    <w:lvl w:ilvl="2" w:tplc="9828CD66">
      <w:start w:val="1"/>
      <w:numFmt w:val="lowerRoman"/>
      <w:lvlText w:val="%3."/>
      <w:lvlJc w:val="right"/>
      <w:pPr>
        <w:ind w:left="2160" w:hanging="180"/>
      </w:pPr>
    </w:lvl>
    <w:lvl w:ilvl="3" w:tplc="5318439E">
      <w:start w:val="1"/>
      <w:numFmt w:val="decimal"/>
      <w:lvlText w:val="%4."/>
      <w:lvlJc w:val="left"/>
      <w:pPr>
        <w:ind w:left="2880" w:hanging="360"/>
      </w:pPr>
    </w:lvl>
    <w:lvl w:ilvl="4" w:tplc="894EE540">
      <w:start w:val="1"/>
      <w:numFmt w:val="lowerLetter"/>
      <w:lvlText w:val="%5."/>
      <w:lvlJc w:val="left"/>
      <w:pPr>
        <w:ind w:left="3600" w:hanging="360"/>
      </w:pPr>
    </w:lvl>
    <w:lvl w:ilvl="5" w:tplc="809205DA">
      <w:start w:val="1"/>
      <w:numFmt w:val="lowerRoman"/>
      <w:lvlText w:val="%6."/>
      <w:lvlJc w:val="right"/>
      <w:pPr>
        <w:ind w:left="4320" w:hanging="180"/>
      </w:pPr>
    </w:lvl>
    <w:lvl w:ilvl="6" w:tplc="D7520A26">
      <w:start w:val="1"/>
      <w:numFmt w:val="decimal"/>
      <w:lvlText w:val="%7."/>
      <w:lvlJc w:val="left"/>
      <w:pPr>
        <w:ind w:left="5040" w:hanging="360"/>
      </w:pPr>
    </w:lvl>
    <w:lvl w:ilvl="7" w:tplc="D61806C2">
      <w:start w:val="1"/>
      <w:numFmt w:val="lowerLetter"/>
      <w:lvlText w:val="%8."/>
      <w:lvlJc w:val="left"/>
      <w:pPr>
        <w:ind w:left="5760" w:hanging="360"/>
      </w:pPr>
    </w:lvl>
    <w:lvl w:ilvl="8" w:tplc="AD4E2C82">
      <w:start w:val="1"/>
      <w:numFmt w:val="lowerRoman"/>
      <w:lvlText w:val="%9."/>
      <w:lvlJc w:val="right"/>
      <w:pPr>
        <w:ind w:left="6480" w:hanging="180"/>
      </w:pPr>
    </w:lvl>
  </w:abstractNum>
  <w:abstractNum w:abstractNumId="10" w15:restartNumberingAfterBreak="0">
    <w:nsid w:val="24C3BAC1"/>
    <w:multiLevelType w:val="hybridMultilevel"/>
    <w:tmpl w:val="4A865342"/>
    <w:lvl w:ilvl="0" w:tplc="60C261FA">
      <w:start w:val="1"/>
      <w:numFmt w:val="lowerLetter"/>
      <w:lvlText w:val="%1."/>
      <w:lvlJc w:val="left"/>
      <w:pPr>
        <w:ind w:left="720" w:hanging="360"/>
      </w:pPr>
    </w:lvl>
    <w:lvl w:ilvl="1" w:tplc="2FC85724">
      <w:start w:val="1"/>
      <w:numFmt w:val="lowerLetter"/>
      <w:lvlText w:val="%2."/>
      <w:lvlJc w:val="left"/>
      <w:pPr>
        <w:ind w:left="1440" w:hanging="360"/>
      </w:pPr>
    </w:lvl>
    <w:lvl w:ilvl="2" w:tplc="5EF8AE2A">
      <w:start w:val="1"/>
      <w:numFmt w:val="lowerRoman"/>
      <w:lvlText w:val="%3."/>
      <w:lvlJc w:val="right"/>
      <w:pPr>
        <w:ind w:left="2160" w:hanging="180"/>
      </w:pPr>
    </w:lvl>
    <w:lvl w:ilvl="3" w:tplc="1A7C7BBE">
      <w:start w:val="1"/>
      <w:numFmt w:val="decimal"/>
      <w:lvlText w:val="%4."/>
      <w:lvlJc w:val="left"/>
      <w:pPr>
        <w:ind w:left="2880" w:hanging="360"/>
      </w:pPr>
    </w:lvl>
    <w:lvl w:ilvl="4" w:tplc="867CE4F6">
      <w:start w:val="1"/>
      <w:numFmt w:val="lowerLetter"/>
      <w:lvlText w:val="%5."/>
      <w:lvlJc w:val="left"/>
      <w:pPr>
        <w:ind w:left="3600" w:hanging="360"/>
      </w:pPr>
    </w:lvl>
    <w:lvl w:ilvl="5" w:tplc="4332534E">
      <w:start w:val="1"/>
      <w:numFmt w:val="lowerRoman"/>
      <w:lvlText w:val="%6."/>
      <w:lvlJc w:val="right"/>
      <w:pPr>
        <w:ind w:left="4320" w:hanging="180"/>
      </w:pPr>
    </w:lvl>
    <w:lvl w:ilvl="6" w:tplc="26E0B338">
      <w:start w:val="1"/>
      <w:numFmt w:val="decimal"/>
      <w:lvlText w:val="%7."/>
      <w:lvlJc w:val="left"/>
      <w:pPr>
        <w:ind w:left="5040" w:hanging="360"/>
      </w:pPr>
    </w:lvl>
    <w:lvl w:ilvl="7" w:tplc="12D4BAAA">
      <w:start w:val="1"/>
      <w:numFmt w:val="lowerLetter"/>
      <w:lvlText w:val="%8."/>
      <w:lvlJc w:val="left"/>
      <w:pPr>
        <w:ind w:left="5760" w:hanging="360"/>
      </w:pPr>
    </w:lvl>
    <w:lvl w:ilvl="8" w:tplc="9B18619A">
      <w:start w:val="1"/>
      <w:numFmt w:val="lowerRoman"/>
      <w:lvlText w:val="%9."/>
      <w:lvlJc w:val="right"/>
      <w:pPr>
        <w:ind w:left="6480" w:hanging="180"/>
      </w:pPr>
    </w:lvl>
  </w:abstractNum>
  <w:abstractNum w:abstractNumId="11" w15:restartNumberingAfterBreak="0">
    <w:nsid w:val="32D82043"/>
    <w:multiLevelType w:val="hybridMultilevel"/>
    <w:tmpl w:val="90D26B4A"/>
    <w:lvl w:ilvl="0" w:tplc="5B08DA42">
      <w:start w:val="1"/>
      <w:numFmt w:val="bullet"/>
      <w:lvlText w:val=""/>
      <w:lvlJc w:val="left"/>
      <w:pPr>
        <w:ind w:left="720" w:hanging="360"/>
      </w:pPr>
      <w:rPr>
        <w:rFonts w:ascii="Symbol" w:hAnsi="Symbol" w:hint="default"/>
      </w:rPr>
    </w:lvl>
    <w:lvl w:ilvl="1" w:tplc="95A2E810">
      <w:start w:val="1"/>
      <w:numFmt w:val="bullet"/>
      <w:lvlText w:val="o"/>
      <w:lvlJc w:val="left"/>
      <w:pPr>
        <w:ind w:left="1440" w:hanging="360"/>
      </w:pPr>
      <w:rPr>
        <w:rFonts w:ascii="Courier New" w:hAnsi="Courier New" w:hint="default"/>
      </w:rPr>
    </w:lvl>
    <w:lvl w:ilvl="2" w:tplc="2CCC0BB0">
      <w:start w:val="1"/>
      <w:numFmt w:val="bullet"/>
      <w:lvlText w:val=""/>
      <w:lvlJc w:val="left"/>
      <w:pPr>
        <w:ind w:left="2160" w:hanging="360"/>
      </w:pPr>
      <w:rPr>
        <w:rFonts w:ascii="Wingdings" w:hAnsi="Wingdings" w:hint="default"/>
      </w:rPr>
    </w:lvl>
    <w:lvl w:ilvl="3" w:tplc="C0BC6F04">
      <w:start w:val="1"/>
      <w:numFmt w:val="bullet"/>
      <w:lvlText w:val=""/>
      <w:lvlJc w:val="left"/>
      <w:pPr>
        <w:ind w:left="2880" w:hanging="360"/>
      </w:pPr>
      <w:rPr>
        <w:rFonts w:ascii="Symbol" w:hAnsi="Symbol" w:hint="default"/>
      </w:rPr>
    </w:lvl>
    <w:lvl w:ilvl="4" w:tplc="4AA2B544">
      <w:start w:val="1"/>
      <w:numFmt w:val="bullet"/>
      <w:lvlText w:val="o"/>
      <w:lvlJc w:val="left"/>
      <w:pPr>
        <w:ind w:left="3600" w:hanging="360"/>
      </w:pPr>
      <w:rPr>
        <w:rFonts w:ascii="Courier New" w:hAnsi="Courier New" w:hint="default"/>
      </w:rPr>
    </w:lvl>
    <w:lvl w:ilvl="5" w:tplc="831C39C6">
      <w:start w:val="1"/>
      <w:numFmt w:val="bullet"/>
      <w:lvlText w:val=""/>
      <w:lvlJc w:val="left"/>
      <w:pPr>
        <w:ind w:left="4320" w:hanging="360"/>
      </w:pPr>
      <w:rPr>
        <w:rFonts w:ascii="Wingdings" w:hAnsi="Wingdings" w:hint="default"/>
      </w:rPr>
    </w:lvl>
    <w:lvl w:ilvl="6" w:tplc="F434F2C6">
      <w:start w:val="1"/>
      <w:numFmt w:val="bullet"/>
      <w:lvlText w:val=""/>
      <w:lvlJc w:val="left"/>
      <w:pPr>
        <w:ind w:left="5040" w:hanging="360"/>
      </w:pPr>
      <w:rPr>
        <w:rFonts w:ascii="Symbol" w:hAnsi="Symbol" w:hint="default"/>
      </w:rPr>
    </w:lvl>
    <w:lvl w:ilvl="7" w:tplc="1A208E58">
      <w:start w:val="1"/>
      <w:numFmt w:val="bullet"/>
      <w:lvlText w:val="o"/>
      <w:lvlJc w:val="left"/>
      <w:pPr>
        <w:ind w:left="5760" w:hanging="360"/>
      </w:pPr>
      <w:rPr>
        <w:rFonts w:ascii="Courier New" w:hAnsi="Courier New" w:hint="default"/>
      </w:rPr>
    </w:lvl>
    <w:lvl w:ilvl="8" w:tplc="461C218C">
      <w:start w:val="1"/>
      <w:numFmt w:val="bullet"/>
      <w:lvlText w:val=""/>
      <w:lvlJc w:val="left"/>
      <w:pPr>
        <w:ind w:left="6480" w:hanging="360"/>
      </w:pPr>
      <w:rPr>
        <w:rFonts w:ascii="Wingdings" w:hAnsi="Wingdings" w:hint="default"/>
      </w:rPr>
    </w:lvl>
  </w:abstractNum>
  <w:abstractNum w:abstractNumId="12" w15:restartNumberingAfterBreak="0">
    <w:nsid w:val="36E4478A"/>
    <w:multiLevelType w:val="hybridMultilevel"/>
    <w:tmpl w:val="ACFE14BE"/>
    <w:lvl w:ilvl="0" w:tplc="41EC8AB6">
      <w:start w:val="1"/>
      <w:numFmt w:val="decimal"/>
      <w:lvlText w:val="%1."/>
      <w:lvlJc w:val="left"/>
      <w:pPr>
        <w:ind w:left="720" w:hanging="360"/>
      </w:pPr>
    </w:lvl>
    <w:lvl w:ilvl="1" w:tplc="040A6122">
      <w:start w:val="1"/>
      <w:numFmt w:val="lowerLetter"/>
      <w:lvlText w:val="%2."/>
      <w:lvlJc w:val="left"/>
      <w:pPr>
        <w:ind w:left="1440" w:hanging="360"/>
      </w:pPr>
    </w:lvl>
    <w:lvl w:ilvl="2" w:tplc="F29A94AE">
      <w:start w:val="1"/>
      <w:numFmt w:val="lowerRoman"/>
      <w:lvlText w:val="%3."/>
      <w:lvlJc w:val="right"/>
      <w:pPr>
        <w:ind w:left="2160" w:hanging="180"/>
      </w:pPr>
    </w:lvl>
    <w:lvl w:ilvl="3" w:tplc="4D949308">
      <w:start w:val="1"/>
      <w:numFmt w:val="decimal"/>
      <w:lvlText w:val="%4."/>
      <w:lvlJc w:val="left"/>
      <w:pPr>
        <w:ind w:left="2880" w:hanging="360"/>
      </w:pPr>
    </w:lvl>
    <w:lvl w:ilvl="4" w:tplc="11BE23BE">
      <w:start w:val="1"/>
      <w:numFmt w:val="lowerLetter"/>
      <w:lvlText w:val="%5."/>
      <w:lvlJc w:val="left"/>
      <w:pPr>
        <w:ind w:left="3600" w:hanging="360"/>
      </w:pPr>
    </w:lvl>
    <w:lvl w:ilvl="5" w:tplc="9DE852B2">
      <w:start w:val="1"/>
      <w:numFmt w:val="lowerRoman"/>
      <w:lvlText w:val="%6."/>
      <w:lvlJc w:val="right"/>
      <w:pPr>
        <w:ind w:left="4320" w:hanging="180"/>
      </w:pPr>
    </w:lvl>
    <w:lvl w:ilvl="6" w:tplc="0A84DF4C">
      <w:start w:val="1"/>
      <w:numFmt w:val="decimal"/>
      <w:lvlText w:val="%7."/>
      <w:lvlJc w:val="left"/>
      <w:pPr>
        <w:ind w:left="5040" w:hanging="360"/>
      </w:pPr>
    </w:lvl>
    <w:lvl w:ilvl="7" w:tplc="E924A6B2">
      <w:start w:val="1"/>
      <w:numFmt w:val="lowerLetter"/>
      <w:lvlText w:val="%8."/>
      <w:lvlJc w:val="left"/>
      <w:pPr>
        <w:ind w:left="5760" w:hanging="360"/>
      </w:pPr>
    </w:lvl>
    <w:lvl w:ilvl="8" w:tplc="9BC419AA">
      <w:start w:val="1"/>
      <w:numFmt w:val="lowerRoman"/>
      <w:lvlText w:val="%9."/>
      <w:lvlJc w:val="right"/>
      <w:pPr>
        <w:ind w:left="6480" w:hanging="180"/>
      </w:pPr>
    </w:lvl>
  </w:abstractNum>
  <w:abstractNum w:abstractNumId="13" w15:restartNumberingAfterBreak="0">
    <w:nsid w:val="385FD087"/>
    <w:multiLevelType w:val="hybridMultilevel"/>
    <w:tmpl w:val="7A6E6D32"/>
    <w:lvl w:ilvl="0" w:tplc="A3381B1E">
      <w:start w:val="1"/>
      <w:numFmt w:val="bullet"/>
      <w:lvlText w:val=""/>
      <w:lvlJc w:val="left"/>
      <w:pPr>
        <w:ind w:left="1080" w:hanging="360"/>
      </w:pPr>
      <w:rPr>
        <w:rFonts w:ascii="Symbol" w:hAnsi="Symbol" w:hint="default"/>
      </w:rPr>
    </w:lvl>
    <w:lvl w:ilvl="1" w:tplc="91D054F4">
      <w:start w:val="1"/>
      <w:numFmt w:val="bullet"/>
      <w:lvlText w:val="o"/>
      <w:lvlJc w:val="left"/>
      <w:pPr>
        <w:ind w:left="1440" w:hanging="360"/>
      </w:pPr>
      <w:rPr>
        <w:rFonts w:ascii="Courier New" w:hAnsi="Courier New" w:hint="default"/>
      </w:rPr>
    </w:lvl>
    <w:lvl w:ilvl="2" w:tplc="8BB63E12">
      <w:start w:val="1"/>
      <w:numFmt w:val="bullet"/>
      <w:lvlText w:val=""/>
      <w:lvlJc w:val="left"/>
      <w:pPr>
        <w:ind w:left="2160" w:hanging="360"/>
      </w:pPr>
      <w:rPr>
        <w:rFonts w:ascii="Wingdings" w:hAnsi="Wingdings" w:hint="default"/>
      </w:rPr>
    </w:lvl>
    <w:lvl w:ilvl="3" w:tplc="B060D8EC">
      <w:start w:val="1"/>
      <w:numFmt w:val="bullet"/>
      <w:lvlText w:val=""/>
      <w:lvlJc w:val="left"/>
      <w:pPr>
        <w:ind w:left="2880" w:hanging="360"/>
      </w:pPr>
      <w:rPr>
        <w:rFonts w:ascii="Symbol" w:hAnsi="Symbol" w:hint="default"/>
      </w:rPr>
    </w:lvl>
    <w:lvl w:ilvl="4" w:tplc="65328B0C">
      <w:start w:val="1"/>
      <w:numFmt w:val="bullet"/>
      <w:lvlText w:val="o"/>
      <w:lvlJc w:val="left"/>
      <w:pPr>
        <w:ind w:left="3600" w:hanging="360"/>
      </w:pPr>
      <w:rPr>
        <w:rFonts w:ascii="Courier New" w:hAnsi="Courier New" w:hint="default"/>
      </w:rPr>
    </w:lvl>
    <w:lvl w:ilvl="5" w:tplc="F10044C6">
      <w:start w:val="1"/>
      <w:numFmt w:val="bullet"/>
      <w:lvlText w:val=""/>
      <w:lvlJc w:val="left"/>
      <w:pPr>
        <w:ind w:left="4320" w:hanging="360"/>
      </w:pPr>
      <w:rPr>
        <w:rFonts w:ascii="Wingdings" w:hAnsi="Wingdings" w:hint="default"/>
      </w:rPr>
    </w:lvl>
    <w:lvl w:ilvl="6" w:tplc="D24C51F6">
      <w:start w:val="1"/>
      <w:numFmt w:val="bullet"/>
      <w:lvlText w:val=""/>
      <w:lvlJc w:val="left"/>
      <w:pPr>
        <w:ind w:left="5040" w:hanging="360"/>
      </w:pPr>
      <w:rPr>
        <w:rFonts w:ascii="Symbol" w:hAnsi="Symbol" w:hint="default"/>
      </w:rPr>
    </w:lvl>
    <w:lvl w:ilvl="7" w:tplc="AB08C42E">
      <w:start w:val="1"/>
      <w:numFmt w:val="bullet"/>
      <w:lvlText w:val="o"/>
      <w:lvlJc w:val="left"/>
      <w:pPr>
        <w:ind w:left="5760" w:hanging="360"/>
      </w:pPr>
      <w:rPr>
        <w:rFonts w:ascii="Courier New" w:hAnsi="Courier New" w:hint="default"/>
      </w:rPr>
    </w:lvl>
    <w:lvl w:ilvl="8" w:tplc="C4B2878A">
      <w:start w:val="1"/>
      <w:numFmt w:val="bullet"/>
      <w:lvlText w:val=""/>
      <w:lvlJc w:val="left"/>
      <w:pPr>
        <w:ind w:left="6480" w:hanging="360"/>
      </w:pPr>
      <w:rPr>
        <w:rFonts w:ascii="Wingdings" w:hAnsi="Wingdings" w:hint="default"/>
      </w:rPr>
    </w:lvl>
  </w:abstractNum>
  <w:abstractNum w:abstractNumId="14" w15:restartNumberingAfterBreak="0">
    <w:nsid w:val="3CC4652A"/>
    <w:multiLevelType w:val="hybridMultilevel"/>
    <w:tmpl w:val="2BC4589E"/>
    <w:lvl w:ilvl="0" w:tplc="323A5CC8">
      <w:start w:val="1"/>
      <w:numFmt w:val="decimal"/>
      <w:lvlText w:val="%1."/>
      <w:lvlJc w:val="left"/>
      <w:pPr>
        <w:ind w:left="720" w:hanging="360"/>
      </w:pPr>
    </w:lvl>
    <w:lvl w:ilvl="1" w:tplc="E87687A8">
      <w:start w:val="1"/>
      <w:numFmt w:val="lowerLetter"/>
      <w:lvlText w:val="%2."/>
      <w:lvlJc w:val="left"/>
      <w:pPr>
        <w:ind w:left="1440" w:hanging="360"/>
      </w:pPr>
    </w:lvl>
    <w:lvl w:ilvl="2" w:tplc="B6E2752A">
      <w:start w:val="1"/>
      <w:numFmt w:val="lowerRoman"/>
      <w:lvlText w:val="%3."/>
      <w:lvlJc w:val="right"/>
      <w:pPr>
        <w:ind w:left="2160" w:hanging="180"/>
      </w:pPr>
    </w:lvl>
    <w:lvl w:ilvl="3" w:tplc="6CD823EC">
      <w:start w:val="1"/>
      <w:numFmt w:val="decimal"/>
      <w:lvlText w:val="%4."/>
      <w:lvlJc w:val="left"/>
      <w:pPr>
        <w:ind w:left="2880" w:hanging="360"/>
      </w:pPr>
    </w:lvl>
    <w:lvl w:ilvl="4" w:tplc="9188B7D8">
      <w:start w:val="1"/>
      <w:numFmt w:val="lowerLetter"/>
      <w:lvlText w:val="%5."/>
      <w:lvlJc w:val="left"/>
      <w:pPr>
        <w:ind w:left="3600" w:hanging="360"/>
      </w:pPr>
    </w:lvl>
    <w:lvl w:ilvl="5" w:tplc="4816C4C2">
      <w:start w:val="1"/>
      <w:numFmt w:val="lowerRoman"/>
      <w:lvlText w:val="%6."/>
      <w:lvlJc w:val="right"/>
      <w:pPr>
        <w:ind w:left="4320" w:hanging="180"/>
      </w:pPr>
    </w:lvl>
    <w:lvl w:ilvl="6" w:tplc="D5C8FBDA">
      <w:start w:val="1"/>
      <w:numFmt w:val="decimal"/>
      <w:lvlText w:val="%7."/>
      <w:lvlJc w:val="left"/>
      <w:pPr>
        <w:ind w:left="5040" w:hanging="360"/>
      </w:pPr>
    </w:lvl>
    <w:lvl w:ilvl="7" w:tplc="84A430B4">
      <w:start w:val="1"/>
      <w:numFmt w:val="lowerLetter"/>
      <w:lvlText w:val="%8."/>
      <w:lvlJc w:val="left"/>
      <w:pPr>
        <w:ind w:left="5760" w:hanging="360"/>
      </w:pPr>
    </w:lvl>
    <w:lvl w:ilvl="8" w:tplc="EC76F1B0">
      <w:start w:val="1"/>
      <w:numFmt w:val="lowerRoman"/>
      <w:lvlText w:val="%9."/>
      <w:lvlJc w:val="right"/>
      <w:pPr>
        <w:ind w:left="6480" w:hanging="180"/>
      </w:pPr>
    </w:lvl>
  </w:abstractNum>
  <w:abstractNum w:abstractNumId="15"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4188275"/>
    <w:multiLevelType w:val="hybridMultilevel"/>
    <w:tmpl w:val="414EDA4A"/>
    <w:lvl w:ilvl="0" w:tplc="C10801AE">
      <w:start w:val="1"/>
      <w:numFmt w:val="decimal"/>
      <w:lvlText w:val="%1."/>
      <w:lvlJc w:val="left"/>
      <w:pPr>
        <w:ind w:left="720" w:hanging="360"/>
      </w:pPr>
    </w:lvl>
    <w:lvl w:ilvl="1" w:tplc="E11EFADC">
      <w:start w:val="1"/>
      <w:numFmt w:val="lowerLetter"/>
      <w:lvlText w:val="%2."/>
      <w:lvlJc w:val="left"/>
      <w:pPr>
        <w:ind w:left="1440" w:hanging="360"/>
      </w:pPr>
    </w:lvl>
    <w:lvl w:ilvl="2" w:tplc="7A2EA08A">
      <w:start w:val="1"/>
      <w:numFmt w:val="lowerRoman"/>
      <w:lvlText w:val="%3."/>
      <w:lvlJc w:val="right"/>
      <w:pPr>
        <w:ind w:left="2160" w:hanging="180"/>
      </w:pPr>
    </w:lvl>
    <w:lvl w:ilvl="3" w:tplc="409638B8">
      <w:start w:val="1"/>
      <w:numFmt w:val="decimal"/>
      <w:lvlText w:val="%4."/>
      <w:lvlJc w:val="left"/>
      <w:pPr>
        <w:ind w:left="2880" w:hanging="360"/>
      </w:pPr>
    </w:lvl>
    <w:lvl w:ilvl="4" w:tplc="5E6E2BC0">
      <w:start w:val="1"/>
      <w:numFmt w:val="lowerLetter"/>
      <w:lvlText w:val="%5."/>
      <w:lvlJc w:val="left"/>
      <w:pPr>
        <w:ind w:left="3600" w:hanging="360"/>
      </w:pPr>
    </w:lvl>
    <w:lvl w:ilvl="5" w:tplc="E9420AD0">
      <w:start w:val="1"/>
      <w:numFmt w:val="lowerRoman"/>
      <w:lvlText w:val="%6."/>
      <w:lvlJc w:val="right"/>
      <w:pPr>
        <w:ind w:left="4320" w:hanging="180"/>
      </w:pPr>
    </w:lvl>
    <w:lvl w:ilvl="6" w:tplc="25D00FC2">
      <w:start w:val="1"/>
      <w:numFmt w:val="decimal"/>
      <w:lvlText w:val="%7."/>
      <w:lvlJc w:val="left"/>
      <w:pPr>
        <w:ind w:left="5040" w:hanging="360"/>
      </w:pPr>
    </w:lvl>
    <w:lvl w:ilvl="7" w:tplc="C8142432">
      <w:start w:val="1"/>
      <w:numFmt w:val="lowerLetter"/>
      <w:lvlText w:val="%8."/>
      <w:lvlJc w:val="left"/>
      <w:pPr>
        <w:ind w:left="5760" w:hanging="360"/>
      </w:pPr>
    </w:lvl>
    <w:lvl w:ilvl="8" w:tplc="E904F168">
      <w:start w:val="1"/>
      <w:numFmt w:val="lowerRoman"/>
      <w:lvlText w:val="%9."/>
      <w:lvlJc w:val="right"/>
      <w:pPr>
        <w:ind w:left="6480" w:hanging="180"/>
      </w:pPr>
    </w:lvl>
  </w:abstractNum>
  <w:abstractNum w:abstractNumId="18"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36A2C5"/>
    <w:multiLevelType w:val="hybridMultilevel"/>
    <w:tmpl w:val="1CDC724C"/>
    <w:lvl w:ilvl="0" w:tplc="29260E5C">
      <w:start w:val="1"/>
      <w:numFmt w:val="decimal"/>
      <w:lvlText w:val="%1."/>
      <w:lvlJc w:val="left"/>
      <w:pPr>
        <w:ind w:left="720" w:hanging="360"/>
      </w:pPr>
    </w:lvl>
    <w:lvl w:ilvl="1" w:tplc="3F669E26">
      <w:start w:val="1"/>
      <w:numFmt w:val="lowerLetter"/>
      <w:lvlText w:val="%2."/>
      <w:lvlJc w:val="left"/>
      <w:pPr>
        <w:ind w:left="1440" w:hanging="360"/>
      </w:pPr>
    </w:lvl>
    <w:lvl w:ilvl="2" w:tplc="9EB638AE">
      <w:start w:val="1"/>
      <w:numFmt w:val="lowerRoman"/>
      <w:lvlText w:val="%3."/>
      <w:lvlJc w:val="right"/>
      <w:pPr>
        <w:ind w:left="2160" w:hanging="180"/>
      </w:pPr>
    </w:lvl>
    <w:lvl w:ilvl="3" w:tplc="CD4A1542">
      <w:start w:val="1"/>
      <w:numFmt w:val="decimal"/>
      <w:lvlText w:val="%4."/>
      <w:lvlJc w:val="left"/>
      <w:pPr>
        <w:ind w:left="2880" w:hanging="360"/>
      </w:pPr>
    </w:lvl>
    <w:lvl w:ilvl="4" w:tplc="FA82E418">
      <w:start w:val="1"/>
      <w:numFmt w:val="lowerLetter"/>
      <w:lvlText w:val="%5."/>
      <w:lvlJc w:val="left"/>
      <w:pPr>
        <w:ind w:left="3600" w:hanging="360"/>
      </w:pPr>
    </w:lvl>
    <w:lvl w:ilvl="5" w:tplc="1272F60A">
      <w:start w:val="1"/>
      <w:numFmt w:val="lowerRoman"/>
      <w:lvlText w:val="%6."/>
      <w:lvlJc w:val="right"/>
      <w:pPr>
        <w:ind w:left="4320" w:hanging="180"/>
      </w:pPr>
    </w:lvl>
    <w:lvl w:ilvl="6" w:tplc="A2729F06">
      <w:start w:val="1"/>
      <w:numFmt w:val="decimal"/>
      <w:lvlText w:val="%7."/>
      <w:lvlJc w:val="left"/>
      <w:pPr>
        <w:ind w:left="5040" w:hanging="360"/>
      </w:pPr>
    </w:lvl>
    <w:lvl w:ilvl="7" w:tplc="3F10CFB0">
      <w:start w:val="1"/>
      <w:numFmt w:val="lowerLetter"/>
      <w:lvlText w:val="%8."/>
      <w:lvlJc w:val="left"/>
      <w:pPr>
        <w:ind w:left="5760" w:hanging="360"/>
      </w:pPr>
    </w:lvl>
    <w:lvl w:ilvl="8" w:tplc="4CDA96C4">
      <w:start w:val="1"/>
      <w:numFmt w:val="lowerRoman"/>
      <w:lvlText w:val="%9."/>
      <w:lvlJc w:val="right"/>
      <w:pPr>
        <w:ind w:left="6480" w:hanging="180"/>
      </w:pPr>
    </w:lvl>
  </w:abstractNum>
  <w:abstractNum w:abstractNumId="21"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ABC500"/>
    <w:multiLevelType w:val="hybridMultilevel"/>
    <w:tmpl w:val="42FAC57E"/>
    <w:lvl w:ilvl="0" w:tplc="03B81972">
      <w:start w:val="1"/>
      <w:numFmt w:val="bullet"/>
      <w:lvlText w:val=""/>
      <w:lvlJc w:val="left"/>
      <w:pPr>
        <w:ind w:left="720" w:hanging="360"/>
      </w:pPr>
      <w:rPr>
        <w:rFonts w:ascii="Symbol" w:hAnsi="Symbol" w:hint="default"/>
      </w:rPr>
    </w:lvl>
    <w:lvl w:ilvl="1" w:tplc="B2A86862">
      <w:start w:val="1"/>
      <w:numFmt w:val="bullet"/>
      <w:lvlText w:val="o"/>
      <w:lvlJc w:val="left"/>
      <w:pPr>
        <w:ind w:left="1440" w:hanging="360"/>
      </w:pPr>
      <w:rPr>
        <w:rFonts w:ascii="Courier New" w:hAnsi="Courier New" w:hint="default"/>
      </w:rPr>
    </w:lvl>
    <w:lvl w:ilvl="2" w:tplc="F386EC7C">
      <w:start w:val="1"/>
      <w:numFmt w:val="bullet"/>
      <w:lvlText w:val=""/>
      <w:lvlJc w:val="left"/>
      <w:pPr>
        <w:ind w:left="2160" w:hanging="360"/>
      </w:pPr>
      <w:rPr>
        <w:rFonts w:ascii="Wingdings" w:hAnsi="Wingdings" w:hint="default"/>
      </w:rPr>
    </w:lvl>
    <w:lvl w:ilvl="3" w:tplc="DBB420B2">
      <w:start w:val="1"/>
      <w:numFmt w:val="bullet"/>
      <w:lvlText w:val=""/>
      <w:lvlJc w:val="left"/>
      <w:pPr>
        <w:ind w:left="2880" w:hanging="360"/>
      </w:pPr>
      <w:rPr>
        <w:rFonts w:ascii="Symbol" w:hAnsi="Symbol" w:hint="default"/>
      </w:rPr>
    </w:lvl>
    <w:lvl w:ilvl="4" w:tplc="A5CC0AD4">
      <w:start w:val="1"/>
      <w:numFmt w:val="bullet"/>
      <w:lvlText w:val="o"/>
      <w:lvlJc w:val="left"/>
      <w:pPr>
        <w:ind w:left="3600" w:hanging="360"/>
      </w:pPr>
      <w:rPr>
        <w:rFonts w:ascii="Courier New" w:hAnsi="Courier New" w:hint="default"/>
      </w:rPr>
    </w:lvl>
    <w:lvl w:ilvl="5" w:tplc="E3364636">
      <w:start w:val="1"/>
      <w:numFmt w:val="bullet"/>
      <w:lvlText w:val=""/>
      <w:lvlJc w:val="left"/>
      <w:pPr>
        <w:ind w:left="4320" w:hanging="360"/>
      </w:pPr>
      <w:rPr>
        <w:rFonts w:ascii="Wingdings" w:hAnsi="Wingdings" w:hint="default"/>
      </w:rPr>
    </w:lvl>
    <w:lvl w:ilvl="6" w:tplc="D440494E">
      <w:start w:val="1"/>
      <w:numFmt w:val="bullet"/>
      <w:lvlText w:val=""/>
      <w:lvlJc w:val="left"/>
      <w:pPr>
        <w:ind w:left="5040" w:hanging="360"/>
      </w:pPr>
      <w:rPr>
        <w:rFonts w:ascii="Symbol" w:hAnsi="Symbol" w:hint="default"/>
      </w:rPr>
    </w:lvl>
    <w:lvl w:ilvl="7" w:tplc="819EFE62">
      <w:start w:val="1"/>
      <w:numFmt w:val="bullet"/>
      <w:lvlText w:val="o"/>
      <w:lvlJc w:val="left"/>
      <w:pPr>
        <w:ind w:left="5760" w:hanging="360"/>
      </w:pPr>
      <w:rPr>
        <w:rFonts w:ascii="Courier New" w:hAnsi="Courier New" w:hint="default"/>
      </w:rPr>
    </w:lvl>
    <w:lvl w:ilvl="8" w:tplc="BB287BFE">
      <w:start w:val="1"/>
      <w:numFmt w:val="bullet"/>
      <w:lvlText w:val=""/>
      <w:lvlJc w:val="left"/>
      <w:pPr>
        <w:ind w:left="6480" w:hanging="360"/>
      </w:pPr>
      <w:rPr>
        <w:rFonts w:ascii="Wingdings" w:hAnsi="Wingdings" w:hint="default"/>
      </w:rPr>
    </w:lvl>
  </w:abstractNum>
  <w:abstractNum w:abstractNumId="23"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2F33A6"/>
    <w:multiLevelType w:val="hybridMultilevel"/>
    <w:tmpl w:val="35F2D7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AA637EF"/>
    <w:multiLevelType w:val="hybridMultilevel"/>
    <w:tmpl w:val="5B065130"/>
    <w:lvl w:ilvl="0" w:tplc="24E23D64">
      <w:start w:val="1"/>
      <w:numFmt w:val="lowerRoman"/>
      <w:lvlText w:val="%1."/>
      <w:lvlJc w:val="right"/>
      <w:pPr>
        <w:ind w:left="1440" w:hanging="360"/>
      </w:pPr>
    </w:lvl>
    <w:lvl w:ilvl="1" w:tplc="8B66685C">
      <w:start w:val="1"/>
      <w:numFmt w:val="lowerLetter"/>
      <w:lvlText w:val="%2."/>
      <w:lvlJc w:val="left"/>
      <w:pPr>
        <w:ind w:left="2160" w:hanging="360"/>
      </w:pPr>
    </w:lvl>
    <w:lvl w:ilvl="2" w:tplc="1348F8C4">
      <w:start w:val="1"/>
      <w:numFmt w:val="lowerRoman"/>
      <w:lvlText w:val="%3."/>
      <w:lvlJc w:val="right"/>
      <w:pPr>
        <w:ind w:left="2880" w:hanging="180"/>
      </w:pPr>
    </w:lvl>
    <w:lvl w:ilvl="3" w:tplc="16342900">
      <w:start w:val="1"/>
      <w:numFmt w:val="decimal"/>
      <w:lvlText w:val="%4."/>
      <w:lvlJc w:val="left"/>
      <w:pPr>
        <w:ind w:left="3600" w:hanging="360"/>
      </w:pPr>
    </w:lvl>
    <w:lvl w:ilvl="4" w:tplc="496AE234">
      <w:start w:val="1"/>
      <w:numFmt w:val="lowerLetter"/>
      <w:lvlText w:val="%5."/>
      <w:lvlJc w:val="left"/>
      <w:pPr>
        <w:ind w:left="4320" w:hanging="360"/>
      </w:pPr>
    </w:lvl>
    <w:lvl w:ilvl="5" w:tplc="674AD740">
      <w:start w:val="1"/>
      <w:numFmt w:val="lowerRoman"/>
      <w:lvlText w:val="%6."/>
      <w:lvlJc w:val="right"/>
      <w:pPr>
        <w:ind w:left="5040" w:hanging="180"/>
      </w:pPr>
    </w:lvl>
    <w:lvl w:ilvl="6" w:tplc="4580A26A">
      <w:start w:val="1"/>
      <w:numFmt w:val="decimal"/>
      <w:lvlText w:val="%7."/>
      <w:lvlJc w:val="left"/>
      <w:pPr>
        <w:ind w:left="5760" w:hanging="360"/>
      </w:pPr>
    </w:lvl>
    <w:lvl w:ilvl="7" w:tplc="2766FFC6">
      <w:start w:val="1"/>
      <w:numFmt w:val="lowerLetter"/>
      <w:lvlText w:val="%8."/>
      <w:lvlJc w:val="left"/>
      <w:pPr>
        <w:ind w:left="6480" w:hanging="360"/>
      </w:pPr>
    </w:lvl>
    <w:lvl w:ilvl="8" w:tplc="0C2AE81E">
      <w:start w:val="1"/>
      <w:numFmt w:val="lowerRoman"/>
      <w:lvlText w:val="%9."/>
      <w:lvlJc w:val="right"/>
      <w:pPr>
        <w:ind w:left="720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1"/>
  </w:num>
  <w:num w:numId="3">
    <w:abstractNumId w:val="23"/>
  </w:num>
  <w:num w:numId="4">
    <w:abstractNumId w:val="24"/>
  </w:num>
  <w:num w:numId="5">
    <w:abstractNumId w:val="15"/>
  </w:num>
  <w:num w:numId="6">
    <w:abstractNumId w:val="19"/>
  </w:num>
  <w:num w:numId="7">
    <w:abstractNumId w:val="16"/>
  </w:num>
  <w:num w:numId="8">
    <w:abstractNumId w:val="18"/>
  </w:num>
  <w:num w:numId="9">
    <w:abstractNumId w:val="0"/>
  </w:num>
  <w:num w:numId="10">
    <w:abstractNumId w:val="13"/>
  </w:num>
  <w:num w:numId="11">
    <w:abstractNumId w:val="11"/>
  </w:num>
  <w:num w:numId="12">
    <w:abstractNumId w:val="22"/>
  </w:num>
  <w:num w:numId="13">
    <w:abstractNumId w:val="10"/>
  </w:num>
  <w:num w:numId="14">
    <w:abstractNumId w:val="12"/>
  </w:num>
  <w:num w:numId="15">
    <w:abstractNumId w:val="6"/>
  </w:num>
  <w:num w:numId="16">
    <w:abstractNumId w:val="25"/>
  </w:num>
  <w:num w:numId="17">
    <w:abstractNumId w:val="14"/>
  </w:num>
  <w:num w:numId="18">
    <w:abstractNumId w:val="3"/>
  </w:num>
  <w:num w:numId="19">
    <w:abstractNumId w:val="17"/>
  </w:num>
  <w:num w:numId="20">
    <w:abstractNumId w:val="20"/>
  </w:num>
  <w:num w:numId="21">
    <w:abstractNumId w:val="9"/>
  </w:num>
  <w:num w:numId="22">
    <w:abstractNumId w:val="8"/>
  </w:num>
  <w:num w:numId="23">
    <w:abstractNumId w:val="5"/>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VjYAedDxGPFIgOs5UuucTWVP4Uj1laL5kw/xW2g6+fZ/hTQcHDztA95MwQkB8yZwEeBB8zuE06UDpWnP4nXw==" w:salt="IvPWuXta156bIVw1yA5Nu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1F39"/>
    <w:rsid w:val="000035F6"/>
    <w:rsid w:val="00010571"/>
    <w:rsid w:val="00010A02"/>
    <w:rsid w:val="000427D8"/>
    <w:rsid w:val="00057D82"/>
    <w:rsid w:val="000649AB"/>
    <w:rsid w:val="0006686C"/>
    <w:rsid w:val="00072FEE"/>
    <w:rsid w:val="00073932"/>
    <w:rsid w:val="00074739"/>
    <w:rsid w:val="00084501"/>
    <w:rsid w:val="00096E95"/>
    <w:rsid w:val="00097025"/>
    <w:rsid w:val="000A0D90"/>
    <w:rsid w:val="000A0DD0"/>
    <w:rsid w:val="000B655A"/>
    <w:rsid w:val="000D00C6"/>
    <w:rsid w:val="000D0462"/>
    <w:rsid w:val="000D6203"/>
    <w:rsid w:val="000F252F"/>
    <w:rsid w:val="001003A7"/>
    <w:rsid w:val="0010223A"/>
    <w:rsid w:val="00112FB5"/>
    <w:rsid w:val="00116F52"/>
    <w:rsid w:val="0011786F"/>
    <w:rsid w:val="00130B1C"/>
    <w:rsid w:val="001375C7"/>
    <w:rsid w:val="001403EB"/>
    <w:rsid w:val="00147ACE"/>
    <w:rsid w:val="00150071"/>
    <w:rsid w:val="001530CF"/>
    <w:rsid w:val="00154DE6"/>
    <w:rsid w:val="0015736F"/>
    <w:rsid w:val="001660EE"/>
    <w:rsid w:val="00184580"/>
    <w:rsid w:val="00195B9F"/>
    <w:rsid w:val="00196ED6"/>
    <w:rsid w:val="001A2CEE"/>
    <w:rsid w:val="001A585B"/>
    <w:rsid w:val="001A74EE"/>
    <w:rsid w:val="001B33DE"/>
    <w:rsid w:val="001C53E1"/>
    <w:rsid w:val="001D07EC"/>
    <w:rsid w:val="001D36AE"/>
    <w:rsid w:val="001D51B9"/>
    <w:rsid w:val="001D6D0C"/>
    <w:rsid w:val="001E2D62"/>
    <w:rsid w:val="001F5ABD"/>
    <w:rsid w:val="001F7B08"/>
    <w:rsid w:val="00207187"/>
    <w:rsid w:val="00214DE8"/>
    <w:rsid w:val="00220DB9"/>
    <w:rsid w:val="00223BCA"/>
    <w:rsid w:val="002257DA"/>
    <w:rsid w:val="00232788"/>
    <w:rsid w:val="00240F54"/>
    <w:rsid w:val="002472F6"/>
    <w:rsid w:val="00273137"/>
    <w:rsid w:val="00273CEB"/>
    <w:rsid w:val="0027424F"/>
    <w:rsid w:val="00274947"/>
    <w:rsid w:val="00280088"/>
    <w:rsid w:val="00280EE5"/>
    <w:rsid w:val="00281F80"/>
    <w:rsid w:val="002827C8"/>
    <w:rsid w:val="002A2A24"/>
    <w:rsid w:val="002A6257"/>
    <w:rsid w:val="002B085D"/>
    <w:rsid w:val="002B382B"/>
    <w:rsid w:val="002B40FE"/>
    <w:rsid w:val="002B697F"/>
    <w:rsid w:val="002C27D7"/>
    <w:rsid w:val="002C2AF7"/>
    <w:rsid w:val="002D19DE"/>
    <w:rsid w:val="002D253A"/>
    <w:rsid w:val="002D29CC"/>
    <w:rsid w:val="002D679C"/>
    <w:rsid w:val="002E6957"/>
    <w:rsid w:val="002F657C"/>
    <w:rsid w:val="002F6889"/>
    <w:rsid w:val="00301CD9"/>
    <w:rsid w:val="00312965"/>
    <w:rsid w:val="00314CBF"/>
    <w:rsid w:val="0031599E"/>
    <w:rsid w:val="00316437"/>
    <w:rsid w:val="0033463C"/>
    <w:rsid w:val="00340223"/>
    <w:rsid w:val="00343095"/>
    <w:rsid w:val="00345380"/>
    <w:rsid w:val="003461A7"/>
    <w:rsid w:val="003503D4"/>
    <w:rsid w:val="00356A1C"/>
    <w:rsid w:val="00360132"/>
    <w:rsid w:val="00377131"/>
    <w:rsid w:val="0038119B"/>
    <w:rsid w:val="00384FFC"/>
    <w:rsid w:val="0038584A"/>
    <w:rsid w:val="00385BB6"/>
    <w:rsid w:val="00387FBA"/>
    <w:rsid w:val="003C21BA"/>
    <w:rsid w:val="003C3283"/>
    <w:rsid w:val="003C3AE6"/>
    <w:rsid w:val="003C7D61"/>
    <w:rsid w:val="003E0DE2"/>
    <w:rsid w:val="004005B1"/>
    <w:rsid w:val="004008FB"/>
    <w:rsid w:val="004046BD"/>
    <w:rsid w:val="00405686"/>
    <w:rsid w:val="00406FBF"/>
    <w:rsid w:val="00407667"/>
    <w:rsid w:val="004112F0"/>
    <w:rsid w:val="00413E09"/>
    <w:rsid w:val="00415412"/>
    <w:rsid w:val="00417F47"/>
    <w:rsid w:val="004469B0"/>
    <w:rsid w:val="00446DB3"/>
    <w:rsid w:val="004536FC"/>
    <w:rsid w:val="00461D4F"/>
    <w:rsid w:val="00463556"/>
    <w:rsid w:val="00463FCE"/>
    <w:rsid w:val="00467E2B"/>
    <w:rsid w:val="00475316"/>
    <w:rsid w:val="0047716F"/>
    <w:rsid w:val="00480C95"/>
    <w:rsid w:val="004812B8"/>
    <w:rsid w:val="004815F9"/>
    <w:rsid w:val="00487EFC"/>
    <w:rsid w:val="00495B97"/>
    <w:rsid w:val="004974FD"/>
    <w:rsid w:val="004A520F"/>
    <w:rsid w:val="004B0B88"/>
    <w:rsid w:val="004B2A13"/>
    <w:rsid w:val="004B5247"/>
    <w:rsid w:val="004B6CB2"/>
    <w:rsid w:val="004C0103"/>
    <w:rsid w:val="004C042F"/>
    <w:rsid w:val="004C160C"/>
    <w:rsid w:val="004C7792"/>
    <w:rsid w:val="004D33AB"/>
    <w:rsid w:val="004D545D"/>
    <w:rsid w:val="004F08F9"/>
    <w:rsid w:val="004F24C2"/>
    <w:rsid w:val="004F6026"/>
    <w:rsid w:val="004FADE3"/>
    <w:rsid w:val="00503BD7"/>
    <w:rsid w:val="005073AF"/>
    <w:rsid w:val="0051201C"/>
    <w:rsid w:val="00523BF3"/>
    <w:rsid w:val="00530079"/>
    <w:rsid w:val="00551F40"/>
    <w:rsid w:val="0055519F"/>
    <w:rsid w:val="005555E0"/>
    <w:rsid w:val="00557953"/>
    <w:rsid w:val="00561EC8"/>
    <w:rsid w:val="005625C3"/>
    <w:rsid w:val="00562CB7"/>
    <w:rsid w:val="005713E2"/>
    <w:rsid w:val="00573256"/>
    <w:rsid w:val="005950A3"/>
    <w:rsid w:val="00597374"/>
    <w:rsid w:val="005A7B83"/>
    <w:rsid w:val="005B6277"/>
    <w:rsid w:val="005C015A"/>
    <w:rsid w:val="005C303F"/>
    <w:rsid w:val="005C384E"/>
    <w:rsid w:val="005C398E"/>
    <w:rsid w:val="005C3BEA"/>
    <w:rsid w:val="005D236A"/>
    <w:rsid w:val="005E68CF"/>
    <w:rsid w:val="005F0249"/>
    <w:rsid w:val="005F4D91"/>
    <w:rsid w:val="00601825"/>
    <w:rsid w:val="00602155"/>
    <w:rsid w:val="006113D2"/>
    <w:rsid w:val="006215D2"/>
    <w:rsid w:val="006221AE"/>
    <w:rsid w:val="006237ED"/>
    <w:rsid w:val="0062632F"/>
    <w:rsid w:val="0063393A"/>
    <w:rsid w:val="006365CA"/>
    <w:rsid w:val="00655717"/>
    <w:rsid w:val="00665614"/>
    <w:rsid w:val="00667EA8"/>
    <w:rsid w:val="006771EB"/>
    <w:rsid w:val="00682652"/>
    <w:rsid w:val="00682886"/>
    <w:rsid w:val="00683C34"/>
    <w:rsid w:val="00683E93"/>
    <w:rsid w:val="0068461E"/>
    <w:rsid w:val="006904A6"/>
    <w:rsid w:val="00691214"/>
    <w:rsid w:val="006914D6"/>
    <w:rsid w:val="0069450C"/>
    <w:rsid w:val="00694D7F"/>
    <w:rsid w:val="00695545"/>
    <w:rsid w:val="00696AFE"/>
    <w:rsid w:val="006A30B4"/>
    <w:rsid w:val="006A4CAE"/>
    <w:rsid w:val="006A4CFF"/>
    <w:rsid w:val="006B022C"/>
    <w:rsid w:val="006B33CC"/>
    <w:rsid w:val="006B7F30"/>
    <w:rsid w:val="006C151B"/>
    <w:rsid w:val="006C6539"/>
    <w:rsid w:val="006C75F8"/>
    <w:rsid w:val="006D24A5"/>
    <w:rsid w:val="006E56CD"/>
    <w:rsid w:val="006E6CB8"/>
    <w:rsid w:val="006E7836"/>
    <w:rsid w:val="006F3506"/>
    <w:rsid w:val="006F4097"/>
    <w:rsid w:val="00702468"/>
    <w:rsid w:val="00706F5B"/>
    <w:rsid w:val="007137B6"/>
    <w:rsid w:val="00716911"/>
    <w:rsid w:val="00716D3E"/>
    <w:rsid w:val="007243F3"/>
    <w:rsid w:val="00724953"/>
    <w:rsid w:val="007256EB"/>
    <w:rsid w:val="00730113"/>
    <w:rsid w:val="00731400"/>
    <w:rsid w:val="00733486"/>
    <w:rsid w:val="0073766D"/>
    <w:rsid w:val="00745CBD"/>
    <w:rsid w:val="00751762"/>
    <w:rsid w:val="00763788"/>
    <w:rsid w:val="00764538"/>
    <w:rsid w:val="00771C80"/>
    <w:rsid w:val="007742B8"/>
    <w:rsid w:val="0077729D"/>
    <w:rsid w:val="00787298"/>
    <w:rsid w:val="007947AD"/>
    <w:rsid w:val="00795892"/>
    <w:rsid w:val="00797370"/>
    <w:rsid w:val="007A2D68"/>
    <w:rsid w:val="007A51E6"/>
    <w:rsid w:val="007B0EAD"/>
    <w:rsid w:val="007B3DE3"/>
    <w:rsid w:val="007C0726"/>
    <w:rsid w:val="007D3B4E"/>
    <w:rsid w:val="007E2F35"/>
    <w:rsid w:val="007E3A9D"/>
    <w:rsid w:val="007E3ABE"/>
    <w:rsid w:val="007E73C3"/>
    <w:rsid w:val="007E73F4"/>
    <w:rsid w:val="007F06B7"/>
    <w:rsid w:val="007F6A84"/>
    <w:rsid w:val="007F7596"/>
    <w:rsid w:val="00800215"/>
    <w:rsid w:val="008013DA"/>
    <w:rsid w:val="00803B13"/>
    <w:rsid w:val="00813A82"/>
    <w:rsid w:val="00827EF8"/>
    <w:rsid w:val="0083414F"/>
    <w:rsid w:val="00837E7E"/>
    <w:rsid w:val="0084269F"/>
    <w:rsid w:val="00842F67"/>
    <w:rsid w:val="00843D48"/>
    <w:rsid w:val="00843D72"/>
    <w:rsid w:val="00851904"/>
    <w:rsid w:val="00852EA9"/>
    <w:rsid w:val="00855B5F"/>
    <w:rsid w:val="00856E5A"/>
    <w:rsid w:val="00857910"/>
    <w:rsid w:val="0086217B"/>
    <w:rsid w:val="008656CE"/>
    <w:rsid w:val="00865B26"/>
    <w:rsid w:val="00874BF4"/>
    <w:rsid w:val="00882BC6"/>
    <w:rsid w:val="0088465B"/>
    <w:rsid w:val="008864F2"/>
    <w:rsid w:val="00886E5A"/>
    <w:rsid w:val="008916CC"/>
    <w:rsid w:val="0089353F"/>
    <w:rsid w:val="008A01EE"/>
    <w:rsid w:val="008A1366"/>
    <w:rsid w:val="008A3694"/>
    <w:rsid w:val="008B0239"/>
    <w:rsid w:val="008B1337"/>
    <w:rsid w:val="008B71F0"/>
    <w:rsid w:val="008B7D3A"/>
    <w:rsid w:val="008C30F0"/>
    <w:rsid w:val="008C4F13"/>
    <w:rsid w:val="008D7287"/>
    <w:rsid w:val="008E334C"/>
    <w:rsid w:val="008E3960"/>
    <w:rsid w:val="008E4487"/>
    <w:rsid w:val="008E54B0"/>
    <w:rsid w:val="008F67FE"/>
    <w:rsid w:val="008F6DDD"/>
    <w:rsid w:val="0090115A"/>
    <w:rsid w:val="0090237C"/>
    <w:rsid w:val="00910007"/>
    <w:rsid w:val="00910CED"/>
    <w:rsid w:val="0091377E"/>
    <w:rsid w:val="00913CC6"/>
    <w:rsid w:val="00916740"/>
    <w:rsid w:val="00916E93"/>
    <w:rsid w:val="00917EA3"/>
    <w:rsid w:val="00921D2D"/>
    <w:rsid w:val="00925583"/>
    <w:rsid w:val="0094026D"/>
    <w:rsid w:val="0095241B"/>
    <w:rsid w:val="0096458E"/>
    <w:rsid w:val="00965C3B"/>
    <w:rsid w:val="00971A32"/>
    <w:rsid w:val="00973888"/>
    <w:rsid w:val="00977FF0"/>
    <w:rsid w:val="00980871"/>
    <w:rsid w:val="00982BDC"/>
    <w:rsid w:val="00984220"/>
    <w:rsid w:val="009865E4"/>
    <w:rsid w:val="009A01AA"/>
    <w:rsid w:val="009A0F28"/>
    <w:rsid w:val="009A3825"/>
    <w:rsid w:val="009A43A5"/>
    <w:rsid w:val="009A74D7"/>
    <w:rsid w:val="009C2BA5"/>
    <w:rsid w:val="009C5560"/>
    <w:rsid w:val="009D44AF"/>
    <w:rsid w:val="009D7F05"/>
    <w:rsid w:val="009E25A3"/>
    <w:rsid w:val="009E4005"/>
    <w:rsid w:val="009E72F4"/>
    <w:rsid w:val="009F5A56"/>
    <w:rsid w:val="00A02D1F"/>
    <w:rsid w:val="00A06050"/>
    <w:rsid w:val="00A15FDD"/>
    <w:rsid w:val="00A23DE3"/>
    <w:rsid w:val="00A30D21"/>
    <w:rsid w:val="00A3154A"/>
    <w:rsid w:val="00A36EB0"/>
    <w:rsid w:val="00A46292"/>
    <w:rsid w:val="00A47B45"/>
    <w:rsid w:val="00A51DDF"/>
    <w:rsid w:val="00A565D0"/>
    <w:rsid w:val="00A56F56"/>
    <w:rsid w:val="00A572B1"/>
    <w:rsid w:val="00A65936"/>
    <w:rsid w:val="00A65FD8"/>
    <w:rsid w:val="00A66866"/>
    <w:rsid w:val="00A75424"/>
    <w:rsid w:val="00A80E71"/>
    <w:rsid w:val="00A81150"/>
    <w:rsid w:val="00A82F9E"/>
    <w:rsid w:val="00AA0DF7"/>
    <w:rsid w:val="00AA3A18"/>
    <w:rsid w:val="00AB1E64"/>
    <w:rsid w:val="00AB4A3D"/>
    <w:rsid w:val="00AC15AF"/>
    <w:rsid w:val="00AC1F84"/>
    <w:rsid w:val="00AC24E9"/>
    <w:rsid w:val="00AC5615"/>
    <w:rsid w:val="00AC5951"/>
    <w:rsid w:val="00AD79D4"/>
    <w:rsid w:val="00AF0EA2"/>
    <w:rsid w:val="00AF52F1"/>
    <w:rsid w:val="00AF562D"/>
    <w:rsid w:val="00AF6588"/>
    <w:rsid w:val="00B04F75"/>
    <w:rsid w:val="00B10B84"/>
    <w:rsid w:val="00B23FF2"/>
    <w:rsid w:val="00B30715"/>
    <w:rsid w:val="00B3208B"/>
    <w:rsid w:val="00B33F9B"/>
    <w:rsid w:val="00B34AA9"/>
    <w:rsid w:val="00B36227"/>
    <w:rsid w:val="00B405F5"/>
    <w:rsid w:val="00B40EA6"/>
    <w:rsid w:val="00B46717"/>
    <w:rsid w:val="00B4753D"/>
    <w:rsid w:val="00B517F5"/>
    <w:rsid w:val="00B623C6"/>
    <w:rsid w:val="00B63CFC"/>
    <w:rsid w:val="00B64078"/>
    <w:rsid w:val="00B66994"/>
    <w:rsid w:val="00B754AF"/>
    <w:rsid w:val="00B82675"/>
    <w:rsid w:val="00B826E1"/>
    <w:rsid w:val="00B84664"/>
    <w:rsid w:val="00BA092F"/>
    <w:rsid w:val="00BA11B9"/>
    <w:rsid w:val="00BB3E85"/>
    <w:rsid w:val="00BB41F1"/>
    <w:rsid w:val="00BB4E27"/>
    <w:rsid w:val="00BB5E7E"/>
    <w:rsid w:val="00BC2B08"/>
    <w:rsid w:val="00BC5CA7"/>
    <w:rsid w:val="00BD6901"/>
    <w:rsid w:val="00BD7B15"/>
    <w:rsid w:val="00BF1D2A"/>
    <w:rsid w:val="00BF23F6"/>
    <w:rsid w:val="00BF3302"/>
    <w:rsid w:val="00BF7E36"/>
    <w:rsid w:val="00C00F33"/>
    <w:rsid w:val="00C15A48"/>
    <w:rsid w:val="00C201E7"/>
    <w:rsid w:val="00C22272"/>
    <w:rsid w:val="00C40BC2"/>
    <w:rsid w:val="00C53543"/>
    <w:rsid w:val="00C5505A"/>
    <w:rsid w:val="00C61574"/>
    <w:rsid w:val="00C62BC3"/>
    <w:rsid w:val="00C6356E"/>
    <w:rsid w:val="00C6470A"/>
    <w:rsid w:val="00C65D55"/>
    <w:rsid w:val="00C70238"/>
    <w:rsid w:val="00C7112E"/>
    <w:rsid w:val="00C71290"/>
    <w:rsid w:val="00C7250D"/>
    <w:rsid w:val="00C73A52"/>
    <w:rsid w:val="00C74BB2"/>
    <w:rsid w:val="00C76540"/>
    <w:rsid w:val="00C8173D"/>
    <w:rsid w:val="00C824D4"/>
    <w:rsid w:val="00C8409E"/>
    <w:rsid w:val="00C94BB5"/>
    <w:rsid w:val="00CA4A98"/>
    <w:rsid w:val="00CB038B"/>
    <w:rsid w:val="00CB3DAF"/>
    <w:rsid w:val="00CB4F32"/>
    <w:rsid w:val="00CC2B29"/>
    <w:rsid w:val="00CC3D56"/>
    <w:rsid w:val="00CD29B4"/>
    <w:rsid w:val="00CD4326"/>
    <w:rsid w:val="00CE5FE8"/>
    <w:rsid w:val="00CF59BD"/>
    <w:rsid w:val="00CF7A5C"/>
    <w:rsid w:val="00D008FE"/>
    <w:rsid w:val="00D02783"/>
    <w:rsid w:val="00D04009"/>
    <w:rsid w:val="00D04539"/>
    <w:rsid w:val="00D10E5E"/>
    <w:rsid w:val="00D1168C"/>
    <w:rsid w:val="00D121F5"/>
    <w:rsid w:val="00D15AC6"/>
    <w:rsid w:val="00D20571"/>
    <w:rsid w:val="00D25DB7"/>
    <w:rsid w:val="00D27C92"/>
    <w:rsid w:val="00D3218E"/>
    <w:rsid w:val="00D34B6B"/>
    <w:rsid w:val="00D4152E"/>
    <w:rsid w:val="00D41D04"/>
    <w:rsid w:val="00D45014"/>
    <w:rsid w:val="00D50D8F"/>
    <w:rsid w:val="00D5251B"/>
    <w:rsid w:val="00D62E18"/>
    <w:rsid w:val="00D65E16"/>
    <w:rsid w:val="00D70008"/>
    <w:rsid w:val="00D747D4"/>
    <w:rsid w:val="00D809DD"/>
    <w:rsid w:val="00D85416"/>
    <w:rsid w:val="00D856BF"/>
    <w:rsid w:val="00D9076C"/>
    <w:rsid w:val="00D9693C"/>
    <w:rsid w:val="00DA334B"/>
    <w:rsid w:val="00DA7553"/>
    <w:rsid w:val="00DC02F4"/>
    <w:rsid w:val="00DC50FE"/>
    <w:rsid w:val="00DC6F2A"/>
    <w:rsid w:val="00DC7F05"/>
    <w:rsid w:val="00DE230B"/>
    <w:rsid w:val="00DE3ECD"/>
    <w:rsid w:val="00DF0295"/>
    <w:rsid w:val="00DF193E"/>
    <w:rsid w:val="00DF3B2C"/>
    <w:rsid w:val="00E10B51"/>
    <w:rsid w:val="00E26D0F"/>
    <w:rsid w:val="00E27223"/>
    <w:rsid w:val="00E332A6"/>
    <w:rsid w:val="00E40A58"/>
    <w:rsid w:val="00E42FBA"/>
    <w:rsid w:val="00E4545D"/>
    <w:rsid w:val="00E575E3"/>
    <w:rsid w:val="00E63EA2"/>
    <w:rsid w:val="00E66039"/>
    <w:rsid w:val="00E804C4"/>
    <w:rsid w:val="00E85348"/>
    <w:rsid w:val="00E8678D"/>
    <w:rsid w:val="00E94082"/>
    <w:rsid w:val="00E942D8"/>
    <w:rsid w:val="00E94BED"/>
    <w:rsid w:val="00EA19F1"/>
    <w:rsid w:val="00EA4A27"/>
    <w:rsid w:val="00EB121F"/>
    <w:rsid w:val="00EB434E"/>
    <w:rsid w:val="00EC1DE4"/>
    <w:rsid w:val="00ED0CD0"/>
    <w:rsid w:val="00ED23FE"/>
    <w:rsid w:val="00ED5272"/>
    <w:rsid w:val="00EE0B88"/>
    <w:rsid w:val="00EE43ED"/>
    <w:rsid w:val="00EE4BA8"/>
    <w:rsid w:val="00EF1587"/>
    <w:rsid w:val="00F05CEC"/>
    <w:rsid w:val="00F06431"/>
    <w:rsid w:val="00F10DDB"/>
    <w:rsid w:val="00F117A0"/>
    <w:rsid w:val="00F22C7D"/>
    <w:rsid w:val="00F23638"/>
    <w:rsid w:val="00F269E9"/>
    <w:rsid w:val="00F3333B"/>
    <w:rsid w:val="00F36446"/>
    <w:rsid w:val="00F430E0"/>
    <w:rsid w:val="00F437FC"/>
    <w:rsid w:val="00F45014"/>
    <w:rsid w:val="00F46A6A"/>
    <w:rsid w:val="00F5624D"/>
    <w:rsid w:val="00F63043"/>
    <w:rsid w:val="00F65407"/>
    <w:rsid w:val="00F671F9"/>
    <w:rsid w:val="00F67C4C"/>
    <w:rsid w:val="00F71FB4"/>
    <w:rsid w:val="00F75E8B"/>
    <w:rsid w:val="00F8204F"/>
    <w:rsid w:val="00F830B1"/>
    <w:rsid w:val="00F851D6"/>
    <w:rsid w:val="00F91277"/>
    <w:rsid w:val="00F954CB"/>
    <w:rsid w:val="00F97372"/>
    <w:rsid w:val="00F97AAC"/>
    <w:rsid w:val="00FA2A08"/>
    <w:rsid w:val="00FA3B38"/>
    <w:rsid w:val="00FA4C2D"/>
    <w:rsid w:val="00FB4403"/>
    <w:rsid w:val="00FB50E7"/>
    <w:rsid w:val="00FB6058"/>
    <w:rsid w:val="00FB774B"/>
    <w:rsid w:val="00FC1ED0"/>
    <w:rsid w:val="00FC6131"/>
    <w:rsid w:val="00FC6CA1"/>
    <w:rsid w:val="00FC6CBD"/>
    <w:rsid w:val="00FC778E"/>
    <w:rsid w:val="00FD11B9"/>
    <w:rsid w:val="00FD274C"/>
    <w:rsid w:val="00FD7085"/>
    <w:rsid w:val="00FD7F51"/>
    <w:rsid w:val="00FE70C1"/>
    <w:rsid w:val="00FF2703"/>
    <w:rsid w:val="0103C240"/>
    <w:rsid w:val="01B48A3E"/>
    <w:rsid w:val="01DC9AF3"/>
    <w:rsid w:val="01EFC2AA"/>
    <w:rsid w:val="01F847A8"/>
    <w:rsid w:val="02226009"/>
    <w:rsid w:val="0243B864"/>
    <w:rsid w:val="02A16F31"/>
    <w:rsid w:val="02F39345"/>
    <w:rsid w:val="0380BCBB"/>
    <w:rsid w:val="0412833F"/>
    <w:rsid w:val="046C8C23"/>
    <w:rsid w:val="04A674CE"/>
    <w:rsid w:val="05112D03"/>
    <w:rsid w:val="053D6508"/>
    <w:rsid w:val="0567BC95"/>
    <w:rsid w:val="056AFA5B"/>
    <w:rsid w:val="05BD39E4"/>
    <w:rsid w:val="061D73C5"/>
    <w:rsid w:val="06ED24A8"/>
    <w:rsid w:val="07939146"/>
    <w:rsid w:val="079E65DB"/>
    <w:rsid w:val="07A985ED"/>
    <w:rsid w:val="07B26ECC"/>
    <w:rsid w:val="07B6C5B0"/>
    <w:rsid w:val="07D2A373"/>
    <w:rsid w:val="080ACAFE"/>
    <w:rsid w:val="08138C4E"/>
    <w:rsid w:val="082EADA8"/>
    <w:rsid w:val="088972C0"/>
    <w:rsid w:val="08DE44F9"/>
    <w:rsid w:val="08F4DAA6"/>
    <w:rsid w:val="09A332A3"/>
    <w:rsid w:val="0AF9DD66"/>
    <w:rsid w:val="0B73CB61"/>
    <w:rsid w:val="0B817BBC"/>
    <w:rsid w:val="0C003621"/>
    <w:rsid w:val="0C2F4CC7"/>
    <w:rsid w:val="0CA05D7F"/>
    <w:rsid w:val="0D1FD844"/>
    <w:rsid w:val="0D808320"/>
    <w:rsid w:val="0D89E260"/>
    <w:rsid w:val="0D8E37C7"/>
    <w:rsid w:val="0DAB8AB7"/>
    <w:rsid w:val="0DB1B61C"/>
    <w:rsid w:val="0DD4CBDB"/>
    <w:rsid w:val="0E2C0619"/>
    <w:rsid w:val="0E8A7D86"/>
    <w:rsid w:val="0ED2E41A"/>
    <w:rsid w:val="0FACD173"/>
    <w:rsid w:val="0FD7FE41"/>
    <w:rsid w:val="0FFE3DE9"/>
    <w:rsid w:val="10AEF4BA"/>
    <w:rsid w:val="10E8BF74"/>
    <w:rsid w:val="11094D68"/>
    <w:rsid w:val="11594A79"/>
    <w:rsid w:val="11659173"/>
    <w:rsid w:val="1173CEA2"/>
    <w:rsid w:val="11ACF16B"/>
    <w:rsid w:val="11E1E7C7"/>
    <w:rsid w:val="12317138"/>
    <w:rsid w:val="126EF2A8"/>
    <w:rsid w:val="127D39A4"/>
    <w:rsid w:val="129AC0E3"/>
    <w:rsid w:val="1320314A"/>
    <w:rsid w:val="13866EA8"/>
    <w:rsid w:val="13A1C268"/>
    <w:rsid w:val="13AE77B7"/>
    <w:rsid w:val="13AECD25"/>
    <w:rsid w:val="143F7AD3"/>
    <w:rsid w:val="1465CF2C"/>
    <w:rsid w:val="14DDAC62"/>
    <w:rsid w:val="15198889"/>
    <w:rsid w:val="15397F7C"/>
    <w:rsid w:val="154A4818"/>
    <w:rsid w:val="1571D981"/>
    <w:rsid w:val="15A6936A"/>
    <w:rsid w:val="15DD2332"/>
    <w:rsid w:val="162CC235"/>
    <w:rsid w:val="16B9C549"/>
    <w:rsid w:val="16D1D3B6"/>
    <w:rsid w:val="16D95171"/>
    <w:rsid w:val="171A0443"/>
    <w:rsid w:val="1851294B"/>
    <w:rsid w:val="1902958C"/>
    <w:rsid w:val="1971D23E"/>
    <w:rsid w:val="19CC37A2"/>
    <w:rsid w:val="1A5BCDB6"/>
    <w:rsid w:val="1B248318"/>
    <w:rsid w:val="1BA18E89"/>
    <w:rsid w:val="1BBF1FE2"/>
    <w:rsid w:val="1BEA5888"/>
    <w:rsid w:val="1D5D6B2D"/>
    <w:rsid w:val="1D86C54C"/>
    <w:rsid w:val="1DD949B9"/>
    <w:rsid w:val="1E4DE980"/>
    <w:rsid w:val="1E8EA582"/>
    <w:rsid w:val="1EBE6636"/>
    <w:rsid w:val="1EDA1479"/>
    <w:rsid w:val="1EEC5702"/>
    <w:rsid w:val="1F51F7F5"/>
    <w:rsid w:val="1FD62A17"/>
    <w:rsid w:val="1FED5E12"/>
    <w:rsid w:val="1FFC4DF0"/>
    <w:rsid w:val="2030142A"/>
    <w:rsid w:val="203C268E"/>
    <w:rsid w:val="20A97954"/>
    <w:rsid w:val="20B894DA"/>
    <w:rsid w:val="20BB4C03"/>
    <w:rsid w:val="20F12F09"/>
    <w:rsid w:val="212DAB76"/>
    <w:rsid w:val="21BD7EBA"/>
    <w:rsid w:val="21BF5B1C"/>
    <w:rsid w:val="21D3DBF9"/>
    <w:rsid w:val="227EC7A9"/>
    <w:rsid w:val="22CFED70"/>
    <w:rsid w:val="22D3CB45"/>
    <w:rsid w:val="22F21CE0"/>
    <w:rsid w:val="232DB053"/>
    <w:rsid w:val="2337E8B0"/>
    <w:rsid w:val="23A69FC8"/>
    <w:rsid w:val="23CEB175"/>
    <w:rsid w:val="23F1AB83"/>
    <w:rsid w:val="24005D63"/>
    <w:rsid w:val="24C4063E"/>
    <w:rsid w:val="24CEDEF3"/>
    <w:rsid w:val="24E5E951"/>
    <w:rsid w:val="24FBA185"/>
    <w:rsid w:val="256A81D6"/>
    <w:rsid w:val="26257190"/>
    <w:rsid w:val="263DF92F"/>
    <w:rsid w:val="27065237"/>
    <w:rsid w:val="27249165"/>
    <w:rsid w:val="27B6403B"/>
    <w:rsid w:val="27C58E03"/>
    <w:rsid w:val="284A20B9"/>
    <w:rsid w:val="285CC6CE"/>
    <w:rsid w:val="286F3A9B"/>
    <w:rsid w:val="29430CC9"/>
    <w:rsid w:val="29615E64"/>
    <w:rsid w:val="297599F1"/>
    <w:rsid w:val="2A552157"/>
    <w:rsid w:val="2AD36F1A"/>
    <w:rsid w:val="2C28F85B"/>
    <w:rsid w:val="2C3A09AC"/>
    <w:rsid w:val="2CD49B88"/>
    <w:rsid w:val="2CE90B8F"/>
    <w:rsid w:val="2D7399BC"/>
    <w:rsid w:val="2D85DA3D"/>
    <w:rsid w:val="2DAC5D02"/>
    <w:rsid w:val="2DC27CA6"/>
    <w:rsid w:val="2E623832"/>
    <w:rsid w:val="2F0568C4"/>
    <w:rsid w:val="2F1C770F"/>
    <w:rsid w:val="302CDBB9"/>
    <w:rsid w:val="30613F92"/>
    <w:rsid w:val="3074916E"/>
    <w:rsid w:val="307A4C80"/>
    <w:rsid w:val="30839B48"/>
    <w:rsid w:val="30931244"/>
    <w:rsid w:val="30BB79A4"/>
    <w:rsid w:val="3119FD3F"/>
    <w:rsid w:val="3182A5BE"/>
    <w:rsid w:val="31D977DC"/>
    <w:rsid w:val="320EBC3B"/>
    <w:rsid w:val="323A701B"/>
    <w:rsid w:val="32470ADF"/>
    <w:rsid w:val="3277AB5C"/>
    <w:rsid w:val="32C299FB"/>
    <w:rsid w:val="33B1ED42"/>
    <w:rsid w:val="341074C9"/>
    <w:rsid w:val="341D571B"/>
    <w:rsid w:val="3428A710"/>
    <w:rsid w:val="343C6A4F"/>
    <w:rsid w:val="349E4F8F"/>
    <w:rsid w:val="350347F3"/>
    <w:rsid w:val="352FC750"/>
    <w:rsid w:val="35650313"/>
    <w:rsid w:val="35661ABE"/>
    <w:rsid w:val="35A96DE0"/>
    <w:rsid w:val="35AC0F8B"/>
    <w:rsid w:val="35D6CB0D"/>
    <w:rsid w:val="3604F40C"/>
    <w:rsid w:val="3638C7CE"/>
    <w:rsid w:val="36C34D2C"/>
    <w:rsid w:val="36F29FEC"/>
    <w:rsid w:val="371E1474"/>
    <w:rsid w:val="37480BF3"/>
    <w:rsid w:val="37C90C05"/>
    <w:rsid w:val="37D4982F"/>
    <w:rsid w:val="38C92664"/>
    <w:rsid w:val="38E3B04D"/>
    <w:rsid w:val="39062291"/>
    <w:rsid w:val="3950D25A"/>
    <w:rsid w:val="397DD7CB"/>
    <w:rsid w:val="397F6FB4"/>
    <w:rsid w:val="39986445"/>
    <w:rsid w:val="3A226FFB"/>
    <w:rsid w:val="3A7F2B8C"/>
    <w:rsid w:val="3AB5FD5F"/>
    <w:rsid w:val="3AFCEE7A"/>
    <w:rsid w:val="3B1B4015"/>
    <w:rsid w:val="3B23A3E1"/>
    <w:rsid w:val="3B826CE9"/>
    <w:rsid w:val="3B991D20"/>
    <w:rsid w:val="3BDAD904"/>
    <w:rsid w:val="3BF96680"/>
    <w:rsid w:val="3CE606FC"/>
    <w:rsid w:val="3CF56BAA"/>
    <w:rsid w:val="3D1AFC9C"/>
    <w:rsid w:val="3D50C810"/>
    <w:rsid w:val="3DA640A8"/>
    <w:rsid w:val="3DD987A8"/>
    <w:rsid w:val="3E336A1E"/>
    <w:rsid w:val="3EE886D3"/>
    <w:rsid w:val="3F2D7B6D"/>
    <w:rsid w:val="3F8B39CB"/>
    <w:rsid w:val="3F8D1986"/>
    <w:rsid w:val="3FD05F9D"/>
    <w:rsid w:val="3FDA10CF"/>
    <w:rsid w:val="41011B31"/>
    <w:rsid w:val="41ACAC0E"/>
    <w:rsid w:val="41B9D9B8"/>
    <w:rsid w:val="423A66AC"/>
    <w:rsid w:val="426B4F20"/>
    <w:rsid w:val="42FCC3D3"/>
    <w:rsid w:val="449F38EA"/>
    <w:rsid w:val="44AD81F2"/>
    <w:rsid w:val="451377DF"/>
    <w:rsid w:val="45328DCD"/>
    <w:rsid w:val="4569149B"/>
    <w:rsid w:val="459CBCF1"/>
    <w:rsid w:val="46DB9F37"/>
    <w:rsid w:val="47D2EBBE"/>
    <w:rsid w:val="47DA4C64"/>
    <w:rsid w:val="481FF011"/>
    <w:rsid w:val="483BDADF"/>
    <w:rsid w:val="484EB3E5"/>
    <w:rsid w:val="48EF1BA6"/>
    <w:rsid w:val="48F66EA9"/>
    <w:rsid w:val="492C7D1F"/>
    <w:rsid w:val="49395473"/>
    <w:rsid w:val="49B67595"/>
    <w:rsid w:val="4A374F11"/>
    <w:rsid w:val="4AD5E14E"/>
    <w:rsid w:val="4AD78D83"/>
    <w:rsid w:val="4AFE4D71"/>
    <w:rsid w:val="4B3AB3B3"/>
    <w:rsid w:val="4B4DD04C"/>
    <w:rsid w:val="4DED9AA6"/>
    <w:rsid w:val="4E6BE938"/>
    <w:rsid w:val="4EAED5DA"/>
    <w:rsid w:val="4EC047B6"/>
    <w:rsid w:val="4EC1910F"/>
    <w:rsid w:val="4EC6BA1F"/>
    <w:rsid w:val="4F7B9E7A"/>
    <w:rsid w:val="4F893054"/>
    <w:rsid w:val="4F9454A5"/>
    <w:rsid w:val="4FA2F710"/>
    <w:rsid w:val="502E794B"/>
    <w:rsid w:val="5036DCF5"/>
    <w:rsid w:val="504EF5F5"/>
    <w:rsid w:val="505D387C"/>
    <w:rsid w:val="507F65BD"/>
    <w:rsid w:val="51221ED5"/>
    <w:rsid w:val="51607E26"/>
    <w:rsid w:val="5181B847"/>
    <w:rsid w:val="518EF2F2"/>
    <w:rsid w:val="51998BC5"/>
    <w:rsid w:val="52C08E61"/>
    <w:rsid w:val="52DA97D2"/>
    <w:rsid w:val="531F7B07"/>
    <w:rsid w:val="54CB82F3"/>
    <w:rsid w:val="556A64F5"/>
    <w:rsid w:val="55E093EC"/>
    <w:rsid w:val="55FFAA7A"/>
    <w:rsid w:val="562A9D68"/>
    <w:rsid w:val="56552CAD"/>
    <w:rsid w:val="567BD040"/>
    <w:rsid w:val="56F1D1F3"/>
    <w:rsid w:val="5722FF13"/>
    <w:rsid w:val="57A4BA4B"/>
    <w:rsid w:val="57D279DB"/>
    <w:rsid w:val="583DE14E"/>
    <w:rsid w:val="58912889"/>
    <w:rsid w:val="58B4BB44"/>
    <w:rsid w:val="58EF1504"/>
    <w:rsid w:val="598329EC"/>
    <w:rsid w:val="59DE4470"/>
    <w:rsid w:val="5A4ED7E6"/>
    <w:rsid w:val="5A90CC3A"/>
    <w:rsid w:val="5B70770E"/>
    <w:rsid w:val="5C1B7002"/>
    <w:rsid w:val="5C459F9F"/>
    <w:rsid w:val="5C6C3A2E"/>
    <w:rsid w:val="5C752590"/>
    <w:rsid w:val="5CB10E90"/>
    <w:rsid w:val="5CFCBCD5"/>
    <w:rsid w:val="5D259535"/>
    <w:rsid w:val="5D55E5F2"/>
    <w:rsid w:val="5D829195"/>
    <w:rsid w:val="5DCC5B8E"/>
    <w:rsid w:val="5E0FC94F"/>
    <w:rsid w:val="5E603E92"/>
    <w:rsid w:val="5E7754F9"/>
    <w:rsid w:val="5EA2E2FF"/>
    <w:rsid w:val="5EA59A28"/>
    <w:rsid w:val="5EDE578E"/>
    <w:rsid w:val="5EEA1FE5"/>
    <w:rsid w:val="5EF872FB"/>
    <w:rsid w:val="5F057EE1"/>
    <w:rsid w:val="5F5310C4"/>
    <w:rsid w:val="5FE71254"/>
    <w:rsid w:val="5FE9C050"/>
    <w:rsid w:val="60416A89"/>
    <w:rsid w:val="604F1B8A"/>
    <w:rsid w:val="60D5B8C8"/>
    <w:rsid w:val="60EEE125"/>
    <w:rsid w:val="60F99D84"/>
    <w:rsid w:val="60FC6F3E"/>
    <w:rsid w:val="6110B4D0"/>
    <w:rsid w:val="612A841C"/>
    <w:rsid w:val="61481C09"/>
    <w:rsid w:val="6175CD68"/>
    <w:rsid w:val="61D02DF8"/>
    <w:rsid w:val="622EB1EB"/>
    <w:rsid w:val="62328227"/>
    <w:rsid w:val="62E7F413"/>
    <w:rsid w:val="63CE5288"/>
    <w:rsid w:val="64020F7A"/>
    <w:rsid w:val="6434AA10"/>
    <w:rsid w:val="645D738A"/>
    <w:rsid w:val="649D72B6"/>
    <w:rsid w:val="65033BF9"/>
    <w:rsid w:val="655CD163"/>
    <w:rsid w:val="65A929EB"/>
    <w:rsid w:val="65F2A8CE"/>
    <w:rsid w:val="6654BACA"/>
    <w:rsid w:val="669783B0"/>
    <w:rsid w:val="66A39F1B"/>
    <w:rsid w:val="68579C80"/>
    <w:rsid w:val="68853B4C"/>
    <w:rsid w:val="68EF5CA8"/>
    <w:rsid w:val="68F98BA9"/>
    <w:rsid w:val="691BE89A"/>
    <w:rsid w:val="691C7099"/>
    <w:rsid w:val="69559333"/>
    <w:rsid w:val="69922C9F"/>
    <w:rsid w:val="69B81627"/>
    <w:rsid w:val="69D1C19C"/>
    <w:rsid w:val="6A0E1506"/>
    <w:rsid w:val="6B172ED2"/>
    <w:rsid w:val="6B851AEA"/>
    <w:rsid w:val="6B8B4BCB"/>
    <w:rsid w:val="6C2B9326"/>
    <w:rsid w:val="6C971C95"/>
    <w:rsid w:val="6D2A58BF"/>
    <w:rsid w:val="6D8992F2"/>
    <w:rsid w:val="6DED4CC6"/>
    <w:rsid w:val="6E0EA12D"/>
    <w:rsid w:val="6E5EC2FE"/>
    <w:rsid w:val="6EBF82A9"/>
    <w:rsid w:val="6EC62920"/>
    <w:rsid w:val="6EFCD58B"/>
    <w:rsid w:val="6F6333E8"/>
    <w:rsid w:val="6F732C01"/>
    <w:rsid w:val="6F894B96"/>
    <w:rsid w:val="6FF7BA76"/>
    <w:rsid w:val="704F14E8"/>
    <w:rsid w:val="705CC4B0"/>
    <w:rsid w:val="706CEC77"/>
    <w:rsid w:val="70913325"/>
    <w:rsid w:val="70ECCD53"/>
    <w:rsid w:val="7159D42E"/>
    <w:rsid w:val="7168957A"/>
    <w:rsid w:val="718E4167"/>
    <w:rsid w:val="71981D74"/>
    <w:rsid w:val="71B12546"/>
    <w:rsid w:val="726F7557"/>
    <w:rsid w:val="72D5A207"/>
    <w:rsid w:val="730E1704"/>
    <w:rsid w:val="731A1575"/>
    <w:rsid w:val="73396C8E"/>
    <w:rsid w:val="7412A65E"/>
    <w:rsid w:val="7461139D"/>
    <w:rsid w:val="749D59F3"/>
    <w:rsid w:val="74D64DD4"/>
    <w:rsid w:val="75AF9BDD"/>
    <w:rsid w:val="75BB0C68"/>
    <w:rsid w:val="760775DE"/>
    <w:rsid w:val="76133B59"/>
    <w:rsid w:val="762FDC80"/>
    <w:rsid w:val="7633E08C"/>
    <w:rsid w:val="76ED5905"/>
    <w:rsid w:val="775251AE"/>
    <w:rsid w:val="77E8B295"/>
    <w:rsid w:val="7835B8AC"/>
    <w:rsid w:val="789181C4"/>
    <w:rsid w:val="78EF284A"/>
    <w:rsid w:val="7B11FEAA"/>
    <w:rsid w:val="7B6B065B"/>
    <w:rsid w:val="7B6D596E"/>
    <w:rsid w:val="7BA55DE7"/>
    <w:rsid w:val="7BB0B801"/>
    <w:rsid w:val="7CA3AA31"/>
    <w:rsid w:val="7CC5DAD6"/>
    <w:rsid w:val="7CC65291"/>
    <w:rsid w:val="7D0929CF"/>
    <w:rsid w:val="7D210D5E"/>
    <w:rsid w:val="7D4C81C9"/>
    <w:rsid w:val="7D5855B3"/>
    <w:rsid w:val="7D5BF60B"/>
    <w:rsid w:val="7DB2007D"/>
    <w:rsid w:val="7DB227FE"/>
    <w:rsid w:val="7DB988A4"/>
    <w:rsid w:val="7E49067D"/>
    <w:rsid w:val="7EBB9E88"/>
    <w:rsid w:val="7EE5B6E1"/>
    <w:rsid w:val="7F4A3A63"/>
    <w:rsid w:val="7FA60062"/>
    <w:rsid w:val="7FC9C086"/>
    <w:rsid w:val="7FCAD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9C39191"/>
  <w15:chartTrackingRefBased/>
  <w15:docId w15:val="{A6A683ED-8570-4893-93E8-5A48DE9A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795892"/>
    <w:pPr>
      <w:ind w:left="720"/>
      <w:contextualSpacing/>
    </w:pPr>
  </w:style>
  <w:style w:type="paragraph" w:customStyle="1" w:styleId="paragraph">
    <w:name w:val="paragraph"/>
    <w:basedOn w:val="Normal"/>
    <w:rsid w:val="00795892"/>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795892"/>
  </w:style>
  <w:style w:type="character" w:customStyle="1" w:styleId="eop">
    <w:name w:val="eop"/>
    <w:basedOn w:val="DefaultParagraphFont"/>
    <w:rsid w:val="00795892"/>
  </w:style>
  <w:style w:type="paragraph" w:styleId="Revision">
    <w:name w:val="Revision"/>
    <w:hidden/>
    <w:uiPriority w:val="99"/>
    <w:semiHidden/>
    <w:rsid w:val="00E942D8"/>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exchange.info/resources/documents/24-CFR-Part%20-570-CDBGs.pdf"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Elizabeth Scharetg</DisplayName>
        <AccountId>92</AccountId>
        <AccountType/>
      </UserInfo>
      <UserInfo>
        <DisplayName>Alana Riemermann</DisplayName>
        <AccountId>341</AccountId>
        <AccountType/>
      </UserInfo>
      <UserInfo>
        <DisplayName>Aliya Buttar</DisplayName>
        <AccountId>18</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3.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09A8880F-12DF-45CA-8FBF-BDAF185E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6723</Words>
  <Characters>38327</Characters>
  <Application>Microsoft Office Word</Application>
  <DocSecurity>8</DocSecurity>
  <Lines>319</Lines>
  <Paragraphs>89</Paragraphs>
  <ScaleCrop>false</ScaleCrop>
  <Company>City Of Santa Monica</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151</cp:revision>
  <cp:lastPrinted>2015-09-17T16:45:00Z</cp:lastPrinted>
  <dcterms:created xsi:type="dcterms:W3CDTF">2023-08-08T03:43:00Z</dcterms:created>
  <dcterms:modified xsi:type="dcterms:W3CDTF">2023-12-27T06:38:00Z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