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7A6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9950"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41B48CAC" w:rsidR="007D3B4E" w:rsidRDefault="0033358C" w:rsidP="00F97372">
      <w:pPr>
        <w:tabs>
          <w:tab w:val="left" w:pos="-1440"/>
        </w:tabs>
        <w:ind w:left="2160" w:hanging="2160"/>
        <w:jc w:val="center"/>
        <w:rPr>
          <w:rFonts w:ascii="Arial" w:hAnsi="Arial"/>
          <w:sz w:val="22"/>
          <w:szCs w:val="22"/>
        </w:rPr>
      </w:pPr>
      <w:r>
        <w:rPr>
          <w:rFonts w:ascii="Arial" w:hAnsi="Arial"/>
          <w:sz w:val="22"/>
          <w:szCs w:val="22"/>
        </w:rPr>
        <w:t>Venice Family Clinic</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4D6F297D" w:rsidR="007D3B4E" w:rsidRDefault="0033358C" w:rsidP="00F97372">
      <w:pPr>
        <w:tabs>
          <w:tab w:val="left" w:pos="-1440"/>
        </w:tabs>
        <w:ind w:left="2160" w:hanging="2160"/>
        <w:jc w:val="center"/>
        <w:rPr>
          <w:rFonts w:ascii="Arial" w:hAnsi="Arial"/>
          <w:sz w:val="22"/>
          <w:szCs w:val="22"/>
        </w:rPr>
      </w:pPr>
      <w:r>
        <w:rPr>
          <w:rFonts w:ascii="Arial" w:hAnsi="Arial"/>
          <w:sz w:val="22"/>
          <w:szCs w:val="22"/>
        </w:rPr>
        <w:t>SAMOHI Wellness Center</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F05ECC">
        <w:trPr>
          <w:trHeight w:val="620"/>
        </w:trPr>
        <w:tc>
          <w:tcPr>
            <w:tcW w:w="1003" w:type="dxa"/>
            <w:tcBorders>
              <w:top w:val="nil"/>
              <w:left w:val="single" w:sz="4" w:space="0" w:color="auto"/>
              <w:bottom w:val="single" w:sz="4" w:space="0" w:color="auto"/>
              <w:right w:val="single" w:sz="4" w:space="0" w:color="auto"/>
            </w:tcBorders>
            <w:shd w:val="clear" w:color="auto" w:fill="auto"/>
            <w:noWrap/>
            <w:vAlign w:val="center"/>
          </w:tcPr>
          <w:p w14:paraId="3687978D" w14:textId="3BB456C9" w:rsidR="001375C7" w:rsidRPr="00C74BB2" w:rsidRDefault="00F05ECC" w:rsidP="00F05EC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2B0BEFA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0419E5">
        <w:t xml:space="preserve"> </w:t>
      </w:r>
    </w:p>
    <w:p w14:paraId="26E460D9" w14:textId="5E7E99DF" w:rsidR="006F4097" w:rsidRDefault="000F252F" w:rsidP="006F4097">
      <w:r w:rsidRPr="000F252F">
        <w:rPr>
          <w:noProof/>
        </w:rPr>
        <w:drawing>
          <wp:inline distT="0" distB="0" distL="0" distR="0" wp14:anchorId="7CC82CE7" wp14:editId="7BC54116">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lastRenderedPageBreak/>
        <w:tab/>
      </w:r>
    </w:p>
    <w:p w14:paraId="45E78220" w14:textId="256D5804" w:rsidR="00925583" w:rsidRPr="000A20A5" w:rsidRDefault="00925583" w:rsidP="000A20A5">
      <w:pPr>
        <w:pStyle w:val="Heading6"/>
        <w:rPr>
          <w:i/>
        </w:rPr>
      </w:pPr>
      <w:r w:rsidRPr="000A20A5">
        <w:rPr>
          <w:rFonts w:hint="eastAsia"/>
        </w:rPr>
        <w:t>SECTION I: PROGRAM ACCOMPLISHMENTS</w:t>
      </w:r>
      <w:r w:rsidRPr="000A20A5">
        <w:t>, CHALLENGES, AND CHANGES</w:t>
      </w:r>
    </w:p>
    <w:p w14:paraId="5D77E395" w14:textId="77777777" w:rsidR="00925583" w:rsidRPr="000A20A5" w:rsidRDefault="00925583" w:rsidP="000A20A5">
      <w:pPr>
        <w:pStyle w:val="BodyText2"/>
        <w:rPr>
          <w:i w:val="0"/>
        </w:rPr>
      </w:pPr>
      <w:r w:rsidRPr="000A20A5">
        <w:rPr>
          <w:i w:val="0"/>
        </w:rPr>
        <w:t>Provide a brief summary of your program accomplishments, challenges</w:t>
      </w:r>
      <w:r w:rsidR="00D856BF" w:rsidRPr="000A20A5">
        <w:rPr>
          <w:i w:val="0"/>
        </w:rPr>
        <w:t>,</w:t>
      </w:r>
      <w:r w:rsidRPr="000A20A5">
        <w:rPr>
          <w:i w:val="0"/>
        </w:rPr>
        <w:t xml:space="preserve"> and changes that occurre</w:t>
      </w:r>
      <w:r w:rsidR="005F4D91" w:rsidRPr="000A20A5">
        <w:rPr>
          <w:i w:val="0"/>
        </w:rPr>
        <w:t xml:space="preserve">d during the reporting period. </w:t>
      </w:r>
      <w:r w:rsidRPr="000A20A5">
        <w:rPr>
          <w:i w:val="0"/>
        </w:rPr>
        <w:t xml:space="preserve">Please also provide information or observations related to population or service trends. </w:t>
      </w:r>
    </w:p>
    <w:p w14:paraId="5B62C2CA" w14:textId="77777777" w:rsidR="00925583" w:rsidRPr="000A20A5" w:rsidRDefault="00925583" w:rsidP="000A20A5">
      <w:pPr>
        <w:jc w:val="both"/>
        <w:rPr>
          <w:rFonts w:ascii="Arial" w:hAnsi="Arial"/>
          <w:sz w:val="21"/>
        </w:rPr>
      </w:pPr>
    </w:p>
    <w:p w14:paraId="7823AC58" w14:textId="77777777" w:rsidR="00566E1D" w:rsidRDefault="00566E1D" w:rsidP="000A20A5">
      <w:pPr>
        <w:jc w:val="both"/>
        <w:rPr>
          <w:rFonts w:asciiTheme="minorHAnsi" w:hAnsiTheme="minorHAnsi" w:cstheme="minorHAnsi"/>
          <w:b/>
          <w:sz w:val="22"/>
          <w:szCs w:val="22"/>
        </w:rPr>
      </w:pPr>
      <w:r w:rsidRPr="000A20A5">
        <w:rPr>
          <w:rFonts w:asciiTheme="minorHAnsi" w:hAnsiTheme="minorHAnsi" w:cstheme="minorHAnsi"/>
          <w:b/>
          <w:sz w:val="22"/>
          <w:szCs w:val="22"/>
        </w:rPr>
        <w:t>Venice Family Clinic Report</w:t>
      </w:r>
    </w:p>
    <w:p w14:paraId="647A437D" w14:textId="30B463EC" w:rsidR="00FD628A" w:rsidRDefault="00FD628A" w:rsidP="000A20A5">
      <w:pPr>
        <w:spacing w:after="120"/>
        <w:jc w:val="both"/>
        <w:rPr>
          <w:rFonts w:asciiTheme="minorHAnsi" w:hAnsiTheme="minorHAnsi" w:cstheme="minorHAnsi"/>
          <w:sz w:val="22"/>
          <w:szCs w:val="22"/>
        </w:rPr>
      </w:pPr>
      <w:r w:rsidRPr="00FD628A">
        <w:rPr>
          <w:rFonts w:asciiTheme="minorHAnsi" w:hAnsiTheme="minorHAnsi" w:cstheme="minorHAnsi"/>
          <w:sz w:val="22"/>
          <w:szCs w:val="22"/>
        </w:rPr>
        <w:t>Between January 1, 2023, and June 30, 2023, Venice Family Clinic</w:t>
      </w:r>
      <w:r>
        <w:rPr>
          <w:rFonts w:asciiTheme="minorHAnsi" w:hAnsiTheme="minorHAnsi" w:cstheme="minorHAnsi"/>
          <w:sz w:val="22"/>
          <w:szCs w:val="22"/>
        </w:rPr>
        <w:t xml:space="preserve">’s </w:t>
      </w:r>
      <w:r w:rsidRPr="00FD628A">
        <w:rPr>
          <w:rFonts w:asciiTheme="minorHAnsi" w:hAnsiTheme="minorHAnsi" w:cstheme="minorHAnsi"/>
          <w:sz w:val="22"/>
          <w:szCs w:val="22"/>
        </w:rPr>
        <w:t xml:space="preserve">Santa Monica High School (SAMOHI) </w:t>
      </w:r>
      <w:r>
        <w:rPr>
          <w:rFonts w:asciiTheme="minorHAnsi" w:hAnsiTheme="minorHAnsi" w:cstheme="minorHAnsi"/>
          <w:sz w:val="22"/>
          <w:szCs w:val="22"/>
        </w:rPr>
        <w:t>clinic</w:t>
      </w:r>
      <w:r w:rsidRPr="00FD628A">
        <w:rPr>
          <w:rFonts w:asciiTheme="minorHAnsi" w:hAnsiTheme="minorHAnsi" w:cstheme="minorHAnsi"/>
          <w:sz w:val="22"/>
          <w:szCs w:val="22"/>
        </w:rPr>
        <w:t xml:space="preserve"> continued to ensure the availability of comprehensive </w:t>
      </w:r>
      <w:r w:rsidR="00B03A95">
        <w:rPr>
          <w:rFonts w:asciiTheme="minorHAnsi" w:hAnsiTheme="minorHAnsi" w:cstheme="minorHAnsi"/>
          <w:sz w:val="22"/>
          <w:szCs w:val="22"/>
        </w:rPr>
        <w:t>health care.</w:t>
      </w:r>
      <w:r>
        <w:rPr>
          <w:rFonts w:asciiTheme="minorHAnsi" w:hAnsiTheme="minorHAnsi" w:cstheme="minorHAnsi"/>
          <w:sz w:val="22"/>
          <w:szCs w:val="22"/>
        </w:rPr>
        <w:t xml:space="preserve"> Though our SAMOHI</w:t>
      </w:r>
      <w:r w:rsidR="00202CC6">
        <w:rPr>
          <w:rFonts w:asciiTheme="minorHAnsi" w:hAnsiTheme="minorHAnsi" w:cstheme="minorHAnsi"/>
          <w:sz w:val="22"/>
          <w:szCs w:val="22"/>
        </w:rPr>
        <w:t xml:space="preserve"> </w:t>
      </w:r>
      <w:r w:rsidR="00470182" w:rsidRPr="00470182">
        <w:rPr>
          <w:rFonts w:asciiTheme="minorHAnsi" w:hAnsiTheme="minorHAnsi" w:cstheme="minorHAnsi"/>
          <w:sz w:val="22"/>
          <w:szCs w:val="22"/>
        </w:rPr>
        <w:t>primary care program experienced a number of ch</w:t>
      </w:r>
      <w:r>
        <w:rPr>
          <w:rFonts w:asciiTheme="minorHAnsi" w:hAnsiTheme="minorHAnsi" w:cstheme="minorHAnsi"/>
          <w:sz w:val="22"/>
          <w:szCs w:val="22"/>
        </w:rPr>
        <w:t xml:space="preserve">anges and challenges this grant year, we also </w:t>
      </w:r>
      <w:r w:rsidR="00B03A95">
        <w:rPr>
          <w:rFonts w:asciiTheme="minorHAnsi" w:hAnsiTheme="minorHAnsi" w:cstheme="minorHAnsi"/>
          <w:sz w:val="22"/>
          <w:szCs w:val="22"/>
        </w:rPr>
        <w:t>served 377 students in total, exceeding our original grant goal.</w:t>
      </w:r>
    </w:p>
    <w:p w14:paraId="6145005A" w14:textId="659374F5" w:rsidR="000A20A5" w:rsidRDefault="00FD628A" w:rsidP="000A20A5">
      <w:pPr>
        <w:spacing w:after="120"/>
        <w:jc w:val="both"/>
        <w:rPr>
          <w:rFonts w:asciiTheme="minorHAnsi" w:hAnsiTheme="minorHAnsi" w:cstheme="minorHAnsi"/>
          <w:sz w:val="22"/>
          <w:szCs w:val="22"/>
        </w:rPr>
      </w:pPr>
      <w:r>
        <w:rPr>
          <w:rFonts w:asciiTheme="minorHAnsi" w:hAnsiTheme="minorHAnsi" w:cstheme="minorHAnsi"/>
          <w:sz w:val="22"/>
          <w:szCs w:val="22"/>
        </w:rPr>
        <w:t xml:space="preserve">As mentioned in our mid-year report, staffing has been a major challenge in our SAMOHI program. </w:t>
      </w:r>
      <w:r w:rsidR="00B03A95">
        <w:rPr>
          <w:rFonts w:asciiTheme="minorHAnsi" w:hAnsiTheme="minorHAnsi" w:cstheme="minorHAnsi"/>
          <w:sz w:val="22"/>
          <w:szCs w:val="22"/>
        </w:rPr>
        <w:t>Though w</w:t>
      </w:r>
      <w:r>
        <w:rPr>
          <w:rFonts w:asciiTheme="minorHAnsi" w:hAnsiTheme="minorHAnsi" w:cstheme="minorHAnsi"/>
          <w:sz w:val="22"/>
          <w:szCs w:val="22"/>
        </w:rPr>
        <w:t xml:space="preserve">e started </w:t>
      </w:r>
      <w:r w:rsidR="00470182" w:rsidRPr="00470182">
        <w:rPr>
          <w:rFonts w:asciiTheme="minorHAnsi" w:hAnsiTheme="minorHAnsi" w:cstheme="minorHAnsi"/>
          <w:sz w:val="22"/>
          <w:szCs w:val="22"/>
        </w:rPr>
        <w:t>2023 fully staffed</w:t>
      </w:r>
      <w:r>
        <w:rPr>
          <w:rFonts w:asciiTheme="minorHAnsi" w:hAnsiTheme="minorHAnsi" w:cstheme="minorHAnsi"/>
          <w:sz w:val="22"/>
          <w:szCs w:val="22"/>
        </w:rPr>
        <w:t>,</w:t>
      </w:r>
      <w:r w:rsidR="00470182" w:rsidRPr="00470182">
        <w:rPr>
          <w:rFonts w:asciiTheme="minorHAnsi" w:hAnsiTheme="minorHAnsi" w:cstheme="minorHAnsi"/>
          <w:sz w:val="22"/>
          <w:szCs w:val="22"/>
        </w:rPr>
        <w:t xml:space="preserve"> </w:t>
      </w:r>
      <w:r>
        <w:rPr>
          <w:rFonts w:asciiTheme="minorHAnsi" w:hAnsiTheme="minorHAnsi" w:cstheme="minorHAnsi"/>
          <w:sz w:val="22"/>
          <w:szCs w:val="22"/>
        </w:rPr>
        <w:t>several other clinic and school administrative staff changes occurred</w:t>
      </w:r>
      <w:r w:rsidR="00B03A95">
        <w:rPr>
          <w:rFonts w:asciiTheme="minorHAnsi" w:hAnsiTheme="minorHAnsi" w:cstheme="minorHAnsi"/>
          <w:sz w:val="22"/>
          <w:szCs w:val="22"/>
        </w:rPr>
        <w:t>, necessitating shifts in work again</w:t>
      </w:r>
      <w:r>
        <w:rPr>
          <w:rFonts w:asciiTheme="minorHAnsi" w:hAnsiTheme="minorHAnsi" w:cstheme="minorHAnsi"/>
          <w:sz w:val="22"/>
          <w:szCs w:val="22"/>
        </w:rPr>
        <w:t>. However, o</w:t>
      </w:r>
      <w:r w:rsidRPr="00FD628A">
        <w:rPr>
          <w:rFonts w:asciiTheme="minorHAnsi" w:hAnsiTheme="minorHAnsi" w:cstheme="minorHAnsi"/>
          <w:sz w:val="22"/>
          <w:szCs w:val="22"/>
        </w:rPr>
        <w:t xml:space="preserve">ur </w:t>
      </w:r>
      <w:r>
        <w:rPr>
          <w:rFonts w:asciiTheme="minorHAnsi" w:hAnsiTheme="minorHAnsi" w:cstheme="minorHAnsi"/>
          <w:sz w:val="22"/>
          <w:szCs w:val="22"/>
        </w:rPr>
        <w:t>o</w:t>
      </w:r>
      <w:r w:rsidRPr="00FD628A">
        <w:rPr>
          <w:rFonts w:asciiTheme="minorHAnsi" w:hAnsiTheme="minorHAnsi" w:cstheme="minorHAnsi"/>
          <w:sz w:val="22"/>
          <w:szCs w:val="22"/>
        </w:rPr>
        <w:t>utreach person</w:t>
      </w:r>
      <w:r w:rsidR="00BC2916">
        <w:rPr>
          <w:rFonts w:asciiTheme="minorHAnsi" w:hAnsiTheme="minorHAnsi" w:cstheme="minorHAnsi"/>
          <w:sz w:val="22"/>
          <w:szCs w:val="22"/>
        </w:rPr>
        <w:t>,</w:t>
      </w:r>
      <w:r w:rsidRPr="00FD628A">
        <w:rPr>
          <w:rFonts w:asciiTheme="minorHAnsi" w:hAnsiTheme="minorHAnsi" w:cstheme="minorHAnsi"/>
          <w:sz w:val="22"/>
          <w:szCs w:val="22"/>
        </w:rPr>
        <w:t xml:space="preserve"> </w:t>
      </w:r>
      <w:r>
        <w:rPr>
          <w:rFonts w:asciiTheme="minorHAnsi" w:hAnsiTheme="minorHAnsi" w:cstheme="minorHAnsi"/>
          <w:sz w:val="22"/>
          <w:szCs w:val="22"/>
        </w:rPr>
        <w:t>who had been on maternity leave</w:t>
      </w:r>
      <w:r w:rsidR="00BC2916">
        <w:rPr>
          <w:rFonts w:asciiTheme="minorHAnsi" w:hAnsiTheme="minorHAnsi" w:cstheme="minorHAnsi"/>
          <w:sz w:val="22"/>
          <w:szCs w:val="22"/>
        </w:rPr>
        <w:t>,</w:t>
      </w:r>
      <w:r>
        <w:rPr>
          <w:rFonts w:asciiTheme="minorHAnsi" w:hAnsiTheme="minorHAnsi" w:cstheme="minorHAnsi"/>
          <w:sz w:val="22"/>
          <w:szCs w:val="22"/>
        </w:rPr>
        <w:t xml:space="preserve"> returned</w:t>
      </w:r>
      <w:r w:rsidRPr="00FD628A">
        <w:rPr>
          <w:rFonts w:asciiTheme="minorHAnsi" w:hAnsiTheme="minorHAnsi" w:cstheme="minorHAnsi"/>
          <w:sz w:val="22"/>
          <w:szCs w:val="22"/>
        </w:rPr>
        <w:t xml:space="preserve"> in </w:t>
      </w:r>
      <w:r>
        <w:rPr>
          <w:rFonts w:asciiTheme="minorHAnsi" w:hAnsiTheme="minorHAnsi" w:cstheme="minorHAnsi"/>
          <w:sz w:val="22"/>
          <w:szCs w:val="22"/>
        </w:rPr>
        <w:t xml:space="preserve">the spring semester, and we have received very positive feedback on our new clinician at this site, </w:t>
      </w:r>
      <w:r w:rsidRPr="00FD628A">
        <w:rPr>
          <w:rFonts w:asciiTheme="minorHAnsi" w:hAnsiTheme="minorHAnsi" w:cstheme="minorHAnsi"/>
          <w:sz w:val="22"/>
          <w:szCs w:val="22"/>
        </w:rPr>
        <w:t>Dr. Saya Yusa</w:t>
      </w:r>
      <w:r>
        <w:rPr>
          <w:rFonts w:asciiTheme="minorHAnsi" w:hAnsiTheme="minorHAnsi" w:cstheme="minorHAnsi"/>
          <w:sz w:val="22"/>
          <w:szCs w:val="22"/>
        </w:rPr>
        <w:t>, who started late in December.</w:t>
      </w:r>
      <w:r w:rsidR="00A87FD6">
        <w:rPr>
          <w:rFonts w:asciiTheme="minorHAnsi" w:hAnsiTheme="minorHAnsi" w:cstheme="minorHAnsi"/>
          <w:sz w:val="22"/>
          <w:szCs w:val="22"/>
        </w:rPr>
        <w:t xml:space="preserve"> Despite the challenges </w:t>
      </w:r>
      <w:r w:rsidR="00F245DA">
        <w:rPr>
          <w:rFonts w:asciiTheme="minorHAnsi" w:hAnsiTheme="minorHAnsi" w:cstheme="minorHAnsi"/>
          <w:sz w:val="22"/>
          <w:szCs w:val="22"/>
        </w:rPr>
        <w:t>mentioned</w:t>
      </w:r>
      <w:r w:rsidR="00A87FD6">
        <w:rPr>
          <w:rFonts w:asciiTheme="minorHAnsi" w:hAnsiTheme="minorHAnsi" w:cstheme="minorHAnsi"/>
          <w:sz w:val="22"/>
          <w:szCs w:val="22"/>
        </w:rPr>
        <w:t xml:space="preserve">, we have had some very </w:t>
      </w:r>
      <w:r w:rsidR="00F245DA">
        <w:rPr>
          <w:rFonts w:asciiTheme="minorHAnsi" w:hAnsiTheme="minorHAnsi" w:cstheme="minorHAnsi"/>
          <w:sz w:val="22"/>
          <w:szCs w:val="22"/>
        </w:rPr>
        <w:t>encouraging</w:t>
      </w:r>
      <w:r w:rsidR="00A87FD6">
        <w:rPr>
          <w:rFonts w:asciiTheme="minorHAnsi" w:hAnsiTheme="minorHAnsi" w:cstheme="minorHAnsi"/>
          <w:sz w:val="22"/>
          <w:szCs w:val="22"/>
        </w:rPr>
        <w:t xml:space="preserve"> staffing successes as well.</w:t>
      </w:r>
    </w:p>
    <w:p w14:paraId="638FF0DF" w14:textId="7B77ABF7" w:rsidR="00FD628A" w:rsidRPr="00FD628A" w:rsidRDefault="00FD628A" w:rsidP="000A20A5">
      <w:pPr>
        <w:spacing w:after="120"/>
        <w:jc w:val="both"/>
        <w:rPr>
          <w:rFonts w:asciiTheme="minorHAnsi" w:hAnsiTheme="minorHAnsi" w:cstheme="minorHAnsi"/>
          <w:sz w:val="22"/>
          <w:szCs w:val="22"/>
        </w:rPr>
      </w:pPr>
      <w:r>
        <w:rPr>
          <w:rFonts w:asciiTheme="minorHAnsi" w:hAnsiTheme="minorHAnsi" w:cstheme="minorHAnsi"/>
          <w:sz w:val="22"/>
          <w:szCs w:val="22"/>
        </w:rPr>
        <w:t>Though our appointment n</w:t>
      </w:r>
      <w:r w:rsidRPr="00FD628A">
        <w:rPr>
          <w:rFonts w:asciiTheme="minorHAnsi" w:hAnsiTheme="minorHAnsi" w:cstheme="minorHAnsi"/>
          <w:sz w:val="22"/>
          <w:szCs w:val="22"/>
        </w:rPr>
        <w:t xml:space="preserve">o-show rate is still </w:t>
      </w:r>
      <w:r>
        <w:rPr>
          <w:rFonts w:asciiTheme="minorHAnsi" w:hAnsiTheme="minorHAnsi" w:cstheme="minorHAnsi"/>
          <w:sz w:val="22"/>
          <w:szCs w:val="22"/>
        </w:rPr>
        <w:t xml:space="preserve">relatively </w:t>
      </w:r>
      <w:r w:rsidRPr="00FD628A">
        <w:rPr>
          <w:rFonts w:asciiTheme="minorHAnsi" w:hAnsiTheme="minorHAnsi" w:cstheme="minorHAnsi"/>
          <w:sz w:val="22"/>
          <w:szCs w:val="22"/>
        </w:rPr>
        <w:t xml:space="preserve">high </w:t>
      </w:r>
      <w:r>
        <w:rPr>
          <w:rFonts w:asciiTheme="minorHAnsi" w:hAnsiTheme="minorHAnsi" w:cstheme="minorHAnsi"/>
          <w:sz w:val="22"/>
          <w:szCs w:val="22"/>
        </w:rPr>
        <w:t>at this site, we are continuing to m</w:t>
      </w:r>
      <w:r w:rsidRPr="00FD628A">
        <w:rPr>
          <w:rFonts w:asciiTheme="minorHAnsi" w:hAnsiTheme="minorHAnsi" w:cstheme="minorHAnsi"/>
          <w:sz w:val="22"/>
          <w:szCs w:val="22"/>
        </w:rPr>
        <w:t>ak</w:t>
      </w:r>
      <w:r>
        <w:rPr>
          <w:rFonts w:asciiTheme="minorHAnsi" w:hAnsiTheme="minorHAnsi" w:cstheme="minorHAnsi"/>
          <w:sz w:val="22"/>
          <w:szCs w:val="22"/>
        </w:rPr>
        <w:t xml:space="preserve">e </w:t>
      </w:r>
      <w:r w:rsidRPr="00FD628A">
        <w:rPr>
          <w:rFonts w:asciiTheme="minorHAnsi" w:hAnsiTheme="minorHAnsi" w:cstheme="minorHAnsi"/>
          <w:sz w:val="22"/>
          <w:szCs w:val="22"/>
        </w:rPr>
        <w:t>sure students kn</w:t>
      </w:r>
      <w:r w:rsidR="002D50B8">
        <w:rPr>
          <w:rFonts w:asciiTheme="minorHAnsi" w:hAnsiTheme="minorHAnsi" w:cstheme="minorHAnsi"/>
          <w:sz w:val="22"/>
          <w:szCs w:val="22"/>
        </w:rPr>
        <w:t>o</w:t>
      </w:r>
      <w:r w:rsidRPr="00FD628A">
        <w:rPr>
          <w:rFonts w:asciiTheme="minorHAnsi" w:hAnsiTheme="minorHAnsi" w:cstheme="minorHAnsi"/>
          <w:sz w:val="22"/>
          <w:szCs w:val="22"/>
        </w:rPr>
        <w:t>w about V</w:t>
      </w:r>
      <w:r>
        <w:rPr>
          <w:rFonts w:asciiTheme="minorHAnsi" w:hAnsiTheme="minorHAnsi" w:cstheme="minorHAnsi"/>
          <w:sz w:val="22"/>
          <w:szCs w:val="22"/>
        </w:rPr>
        <w:t xml:space="preserve">enice </w:t>
      </w:r>
      <w:r w:rsidRPr="00FD628A">
        <w:rPr>
          <w:rFonts w:asciiTheme="minorHAnsi" w:hAnsiTheme="minorHAnsi" w:cstheme="minorHAnsi"/>
          <w:sz w:val="22"/>
          <w:szCs w:val="22"/>
        </w:rPr>
        <w:t>F</w:t>
      </w:r>
      <w:r>
        <w:rPr>
          <w:rFonts w:asciiTheme="minorHAnsi" w:hAnsiTheme="minorHAnsi" w:cstheme="minorHAnsi"/>
          <w:sz w:val="22"/>
          <w:szCs w:val="22"/>
        </w:rPr>
        <w:t xml:space="preserve">amily </w:t>
      </w:r>
      <w:r w:rsidRPr="00FD628A">
        <w:rPr>
          <w:rFonts w:asciiTheme="minorHAnsi" w:hAnsiTheme="minorHAnsi" w:cstheme="minorHAnsi"/>
          <w:sz w:val="22"/>
          <w:szCs w:val="22"/>
        </w:rPr>
        <w:t>C</w:t>
      </w:r>
      <w:r>
        <w:rPr>
          <w:rFonts w:asciiTheme="minorHAnsi" w:hAnsiTheme="minorHAnsi" w:cstheme="minorHAnsi"/>
          <w:sz w:val="22"/>
          <w:szCs w:val="22"/>
        </w:rPr>
        <w:t xml:space="preserve">linic services and are </w:t>
      </w:r>
      <w:r w:rsidRPr="00FD628A">
        <w:rPr>
          <w:rFonts w:asciiTheme="minorHAnsi" w:hAnsiTheme="minorHAnsi" w:cstheme="minorHAnsi"/>
          <w:sz w:val="22"/>
          <w:szCs w:val="22"/>
        </w:rPr>
        <w:t xml:space="preserve">going through proper clearances to attend appointments. </w:t>
      </w:r>
      <w:r>
        <w:rPr>
          <w:rFonts w:asciiTheme="minorHAnsi" w:hAnsiTheme="minorHAnsi" w:cstheme="minorHAnsi"/>
          <w:sz w:val="22"/>
          <w:szCs w:val="22"/>
        </w:rPr>
        <w:t>Next school year, we will also change our schedule for services to be more convenient for students, and appointments will be offered Tuesday afternoon</w:t>
      </w:r>
      <w:r w:rsidRPr="00FD628A">
        <w:rPr>
          <w:rFonts w:asciiTheme="minorHAnsi" w:hAnsiTheme="minorHAnsi" w:cstheme="minorHAnsi"/>
          <w:sz w:val="22"/>
          <w:szCs w:val="22"/>
        </w:rPr>
        <w:t xml:space="preserve"> and all day Thursday</w:t>
      </w:r>
      <w:r>
        <w:rPr>
          <w:rFonts w:asciiTheme="minorHAnsi" w:hAnsiTheme="minorHAnsi" w:cstheme="minorHAnsi"/>
          <w:sz w:val="22"/>
          <w:szCs w:val="22"/>
        </w:rPr>
        <w:t>.</w:t>
      </w:r>
      <w:r w:rsidRPr="00FD628A">
        <w:rPr>
          <w:rFonts w:asciiTheme="minorHAnsi" w:hAnsiTheme="minorHAnsi" w:cstheme="minorHAnsi"/>
          <w:sz w:val="22"/>
          <w:szCs w:val="22"/>
        </w:rPr>
        <w:t xml:space="preserve"> </w:t>
      </w:r>
    </w:p>
    <w:p w14:paraId="5CF18F0F" w14:textId="7CCEA7C6" w:rsidR="00566E1D" w:rsidRDefault="00D354A9" w:rsidP="000A20A5">
      <w:pPr>
        <w:spacing w:after="120"/>
        <w:jc w:val="both"/>
        <w:rPr>
          <w:rFonts w:asciiTheme="minorHAnsi" w:hAnsiTheme="minorHAnsi" w:cstheme="minorHAnsi"/>
          <w:sz w:val="22"/>
          <w:szCs w:val="22"/>
        </w:rPr>
      </w:pPr>
      <w:r>
        <w:rPr>
          <w:rFonts w:asciiTheme="minorHAnsi" w:hAnsiTheme="minorHAnsi" w:cstheme="minorHAnsi"/>
          <w:sz w:val="22"/>
          <w:szCs w:val="22"/>
        </w:rPr>
        <w:t>Lastly, we are pleased to report that w</w:t>
      </w:r>
      <w:r w:rsidR="00FD628A" w:rsidRPr="00FD628A">
        <w:rPr>
          <w:rFonts w:asciiTheme="minorHAnsi" w:hAnsiTheme="minorHAnsi" w:cstheme="minorHAnsi"/>
          <w:sz w:val="22"/>
          <w:szCs w:val="22"/>
        </w:rPr>
        <w:t xml:space="preserve">e made more headway </w:t>
      </w:r>
      <w:r>
        <w:rPr>
          <w:rFonts w:asciiTheme="minorHAnsi" w:hAnsiTheme="minorHAnsi" w:cstheme="minorHAnsi"/>
          <w:sz w:val="22"/>
          <w:szCs w:val="22"/>
        </w:rPr>
        <w:t>in</w:t>
      </w:r>
      <w:r w:rsidR="00FD628A" w:rsidRPr="00FD628A">
        <w:rPr>
          <w:rFonts w:asciiTheme="minorHAnsi" w:hAnsiTheme="minorHAnsi" w:cstheme="minorHAnsi"/>
          <w:sz w:val="22"/>
          <w:szCs w:val="22"/>
        </w:rPr>
        <w:t xml:space="preserve"> </w:t>
      </w:r>
      <w:r>
        <w:rPr>
          <w:rFonts w:asciiTheme="minorHAnsi" w:hAnsiTheme="minorHAnsi" w:cstheme="minorHAnsi"/>
          <w:sz w:val="22"/>
          <w:szCs w:val="22"/>
        </w:rPr>
        <w:t>integrat</w:t>
      </w:r>
      <w:r w:rsidR="000A20A5">
        <w:rPr>
          <w:rFonts w:asciiTheme="minorHAnsi" w:hAnsiTheme="minorHAnsi" w:cstheme="minorHAnsi"/>
          <w:sz w:val="22"/>
          <w:szCs w:val="22"/>
        </w:rPr>
        <w:t>ing</w:t>
      </w:r>
      <w:r>
        <w:rPr>
          <w:rFonts w:asciiTheme="minorHAnsi" w:hAnsiTheme="minorHAnsi" w:cstheme="minorHAnsi"/>
          <w:sz w:val="22"/>
          <w:szCs w:val="22"/>
        </w:rPr>
        <w:t xml:space="preserve"> health education </w:t>
      </w:r>
      <w:r w:rsidR="00FD628A" w:rsidRPr="00FD628A">
        <w:rPr>
          <w:rFonts w:asciiTheme="minorHAnsi" w:hAnsiTheme="minorHAnsi" w:cstheme="minorHAnsi"/>
          <w:sz w:val="22"/>
          <w:szCs w:val="22"/>
        </w:rPr>
        <w:t>more</w:t>
      </w:r>
      <w:r>
        <w:rPr>
          <w:rFonts w:asciiTheme="minorHAnsi" w:hAnsiTheme="minorHAnsi" w:cstheme="minorHAnsi"/>
          <w:sz w:val="22"/>
          <w:szCs w:val="22"/>
        </w:rPr>
        <w:t xml:space="preserve"> into our work at SAMOHI</w:t>
      </w:r>
      <w:r w:rsidR="00FD628A" w:rsidRPr="00FD628A">
        <w:rPr>
          <w:rFonts w:asciiTheme="minorHAnsi" w:hAnsiTheme="minorHAnsi" w:cstheme="minorHAnsi"/>
          <w:sz w:val="22"/>
          <w:szCs w:val="22"/>
        </w:rPr>
        <w:t xml:space="preserve">. </w:t>
      </w:r>
      <w:r>
        <w:rPr>
          <w:rFonts w:asciiTheme="minorHAnsi" w:hAnsiTheme="minorHAnsi" w:cstheme="minorHAnsi"/>
          <w:sz w:val="22"/>
          <w:szCs w:val="22"/>
        </w:rPr>
        <w:t>In this grant period,</w:t>
      </w:r>
      <w:r w:rsidR="00FD628A" w:rsidRPr="00FD628A">
        <w:rPr>
          <w:rFonts w:asciiTheme="minorHAnsi" w:hAnsiTheme="minorHAnsi" w:cstheme="minorHAnsi"/>
          <w:sz w:val="22"/>
          <w:szCs w:val="22"/>
        </w:rPr>
        <w:t xml:space="preserve"> SAMOHI </w:t>
      </w:r>
      <w:r>
        <w:rPr>
          <w:rFonts w:asciiTheme="minorHAnsi" w:hAnsiTheme="minorHAnsi" w:cstheme="minorHAnsi"/>
          <w:sz w:val="22"/>
          <w:szCs w:val="22"/>
        </w:rPr>
        <w:t xml:space="preserve">staff </w:t>
      </w:r>
      <w:r w:rsidR="00FD628A" w:rsidRPr="00FD628A">
        <w:rPr>
          <w:rFonts w:asciiTheme="minorHAnsi" w:hAnsiTheme="minorHAnsi" w:cstheme="minorHAnsi"/>
          <w:sz w:val="22"/>
          <w:szCs w:val="22"/>
        </w:rPr>
        <w:t xml:space="preserve">and </w:t>
      </w:r>
      <w:r>
        <w:rPr>
          <w:rFonts w:asciiTheme="minorHAnsi" w:hAnsiTheme="minorHAnsi" w:cstheme="minorHAnsi"/>
          <w:sz w:val="22"/>
          <w:szCs w:val="22"/>
        </w:rPr>
        <w:t xml:space="preserve">our </w:t>
      </w:r>
      <w:r w:rsidR="00FD1717">
        <w:rPr>
          <w:rFonts w:asciiTheme="minorHAnsi" w:hAnsiTheme="minorHAnsi" w:cstheme="minorHAnsi"/>
          <w:sz w:val="22"/>
          <w:szCs w:val="22"/>
        </w:rPr>
        <w:t>Health Educator</w:t>
      </w:r>
      <w:r w:rsidR="00FD628A" w:rsidRPr="00FD628A">
        <w:rPr>
          <w:rFonts w:asciiTheme="minorHAnsi" w:hAnsiTheme="minorHAnsi" w:cstheme="minorHAnsi"/>
          <w:sz w:val="22"/>
          <w:szCs w:val="22"/>
        </w:rPr>
        <w:t xml:space="preserve"> have been communicating more, </w:t>
      </w:r>
      <w:r>
        <w:rPr>
          <w:rFonts w:asciiTheme="minorHAnsi" w:hAnsiTheme="minorHAnsi" w:cstheme="minorHAnsi"/>
          <w:sz w:val="22"/>
          <w:szCs w:val="22"/>
        </w:rPr>
        <w:t>and</w:t>
      </w:r>
      <w:r w:rsidR="00FD628A" w:rsidRPr="00FD628A">
        <w:rPr>
          <w:rFonts w:asciiTheme="minorHAnsi" w:hAnsiTheme="minorHAnsi" w:cstheme="minorHAnsi"/>
          <w:sz w:val="22"/>
          <w:szCs w:val="22"/>
        </w:rPr>
        <w:t xml:space="preserve"> they are discussing more ways</w:t>
      </w:r>
      <w:r>
        <w:rPr>
          <w:rFonts w:asciiTheme="minorHAnsi" w:hAnsiTheme="minorHAnsi" w:cstheme="minorHAnsi"/>
          <w:sz w:val="22"/>
          <w:szCs w:val="22"/>
        </w:rPr>
        <w:t xml:space="preserve"> </w:t>
      </w:r>
      <w:r w:rsidR="00FD628A" w:rsidRPr="00FD628A">
        <w:rPr>
          <w:rFonts w:asciiTheme="minorHAnsi" w:hAnsiTheme="minorHAnsi" w:cstheme="minorHAnsi"/>
          <w:sz w:val="22"/>
          <w:szCs w:val="22"/>
        </w:rPr>
        <w:t xml:space="preserve">to </w:t>
      </w:r>
      <w:r>
        <w:rPr>
          <w:rFonts w:asciiTheme="minorHAnsi" w:hAnsiTheme="minorHAnsi" w:cstheme="minorHAnsi"/>
          <w:sz w:val="22"/>
          <w:szCs w:val="22"/>
        </w:rPr>
        <w:t>present in</w:t>
      </w:r>
      <w:r w:rsidR="00FD628A" w:rsidRPr="00FD628A">
        <w:rPr>
          <w:rFonts w:asciiTheme="minorHAnsi" w:hAnsiTheme="minorHAnsi" w:cstheme="minorHAnsi"/>
          <w:sz w:val="22"/>
          <w:szCs w:val="22"/>
        </w:rPr>
        <w:t xml:space="preserve"> classrooms. </w:t>
      </w:r>
      <w:r>
        <w:rPr>
          <w:rFonts w:asciiTheme="minorHAnsi" w:hAnsiTheme="minorHAnsi" w:cstheme="minorHAnsi"/>
          <w:sz w:val="22"/>
          <w:szCs w:val="22"/>
        </w:rPr>
        <w:t>We anticipate changes in this program to occur in the next school year.</w:t>
      </w:r>
    </w:p>
    <w:p w14:paraId="49139C55" w14:textId="7E69806E" w:rsidR="00566E1D" w:rsidRPr="00566E1D" w:rsidRDefault="00566E1D" w:rsidP="000A20A5">
      <w:pPr>
        <w:jc w:val="both"/>
        <w:rPr>
          <w:rFonts w:asciiTheme="minorHAnsi" w:hAnsiTheme="minorHAnsi" w:cstheme="minorHAnsi"/>
          <w:b/>
          <w:sz w:val="22"/>
          <w:szCs w:val="22"/>
        </w:rPr>
      </w:pPr>
      <w:r w:rsidRPr="00C45BF8">
        <w:rPr>
          <w:rFonts w:asciiTheme="minorHAnsi" w:hAnsiTheme="minorHAnsi" w:cstheme="minorHAnsi"/>
          <w:b/>
          <w:sz w:val="22"/>
          <w:szCs w:val="22"/>
        </w:rPr>
        <w:t>Illuminating SOL Report</w:t>
      </w:r>
    </w:p>
    <w:p w14:paraId="3B3D7154" w14:textId="77777777" w:rsidR="00B21983" w:rsidRPr="00B21983" w:rsidRDefault="00B21983" w:rsidP="00617B80">
      <w:pPr>
        <w:spacing w:after="120"/>
        <w:jc w:val="both"/>
        <w:rPr>
          <w:rFonts w:ascii="Calibri" w:hAnsi="Calibri" w:cs="Calibri"/>
          <w:b/>
          <w:bCs/>
          <w:sz w:val="22"/>
          <w:szCs w:val="22"/>
        </w:rPr>
      </w:pPr>
      <w:r w:rsidRPr="00B21983">
        <w:rPr>
          <w:rFonts w:ascii="Calibri" w:hAnsi="Calibri" w:cs="Calibri"/>
          <w:b/>
          <w:bCs/>
          <w:sz w:val="22"/>
          <w:szCs w:val="22"/>
        </w:rPr>
        <w:t>Accomplishments</w:t>
      </w:r>
    </w:p>
    <w:p w14:paraId="3F316BF9" w14:textId="2D6EC1AC" w:rsidR="00B21983" w:rsidRPr="00B21983" w:rsidRDefault="00B21983" w:rsidP="00617B80">
      <w:pPr>
        <w:spacing w:after="120"/>
        <w:jc w:val="both"/>
        <w:rPr>
          <w:rFonts w:ascii="Calibri" w:hAnsi="Calibri" w:cs="Calibri"/>
          <w:bCs/>
          <w:sz w:val="22"/>
          <w:szCs w:val="22"/>
        </w:rPr>
      </w:pPr>
      <w:r w:rsidRPr="00B21983">
        <w:rPr>
          <w:rFonts w:ascii="Calibri" w:hAnsi="Calibri" w:cs="Calibri"/>
          <w:bCs/>
          <w:sz w:val="22"/>
          <w:szCs w:val="22"/>
        </w:rPr>
        <w:t>During this reporting period, Illuminating SOL Therapy, Inc. was able to accomplish the following:</w:t>
      </w:r>
      <w:r w:rsidR="000419E5">
        <w:rPr>
          <w:rFonts w:ascii="Calibri" w:hAnsi="Calibri" w:cs="Calibri"/>
          <w:bCs/>
          <w:sz w:val="22"/>
          <w:szCs w:val="22"/>
        </w:rPr>
        <w:t xml:space="preserve"> </w:t>
      </w:r>
    </w:p>
    <w:p w14:paraId="6607FBBB" w14:textId="4A846619"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Provided case management to 10 Olympic High School students that included: weekly/bi-weekly/monthly check-ins, coordinated and attended consult meetings with parent, teacher, academic counselor and/or principal, provided client support funds and linkages to community resources and/or services, addressed specific student and/or parent/caregiver needs as appropriate and needed. One home visit took place with principal. Six students met with Santa Monica College counselor to discuss programs, enrollment process. Illuminating SOL Therapy, Inc. was able to provide services in Spanish to 3 of the case management cases as well as interpretation.</w:t>
      </w:r>
      <w:r w:rsidR="000419E5">
        <w:rPr>
          <w:rFonts w:ascii="Calibri" w:hAnsi="Calibri" w:cs="Calibri"/>
          <w:bCs/>
          <w:sz w:val="22"/>
          <w:szCs w:val="22"/>
        </w:rPr>
        <w:t xml:space="preserve"> </w:t>
      </w:r>
    </w:p>
    <w:p w14:paraId="5B5131B0" w14:textId="00A72700"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Organized, coordinated, and facilitated 6 monthly provider meetings, which helped in staying up-to-date with OHS campus events and/or meetings, in addition to having on-campus providers share program updates and services.</w:t>
      </w:r>
      <w:r w:rsidR="000419E5">
        <w:rPr>
          <w:rFonts w:ascii="Calibri" w:hAnsi="Calibri" w:cs="Calibri"/>
          <w:bCs/>
          <w:sz w:val="22"/>
          <w:szCs w:val="22"/>
        </w:rPr>
        <w:t xml:space="preserve"> </w:t>
      </w:r>
    </w:p>
    <w:p w14:paraId="54EC1756" w14:textId="64FCC728"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Triaged approximately 17 mental health and/or case management referrals appropriate service providers, followed-up with parent/caregiver, and updated referral source on status of the referral.</w:t>
      </w:r>
      <w:r w:rsidR="000419E5">
        <w:rPr>
          <w:rFonts w:ascii="Calibri" w:hAnsi="Calibri" w:cs="Calibri"/>
          <w:bCs/>
          <w:sz w:val="22"/>
          <w:szCs w:val="22"/>
        </w:rPr>
        <w:t xml:space="preserve"> </w:t>
      </w:r>
    </w:p>
    <w:p w14:paraId="00481563" w14:textId="209D0872"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 xml:space="preserve">Continued to serve as a preceptor and point-person for the two MSW interns, ensuring they were given appropriate cases, tasks, and ways to support the school milieu via direct services such as workshops and/or groups. In addition, Illuminating SOL Therapy Inc, met with the two interns bi-weekly to address questions, </w:t>
      </w:r>
      <w:r w:rsidR="00617B80">
        <w:rPr>
          <w:rFonts w:ascii="Calibri" w:hAnsi="Calibri" w:cs="Calibri"/>
          <w:bCs/>
          <w:sz w:val="22"/>
          <w:szCs w:val="22"/>
        </w:rPr>
        <w:t xml:space="preserve">and </w:t>
      </w:r>
      <w:r w:rsidR="00B21983" w:rsidRPr="00B21983">
        <w:rPr>
          <w:rFonts w:ascii="Calibri" w:hAnsi="Calibri" w:cs="Calibri"/>
          <w:bCs/>
          <w:sz w:val="22"/>
          <w:szCs w:val="22"/>
        </w:rPr>
        <w:t xml:space="preserve">provide support, information, and resources, as-needed for students and/or parents. Both interns reported feeling a part of the school-community, </w:t>
      </w:r>
      <w:r w:rsidR="00617B80">
        <w:rPr>
          <w:rFonts w:ascii="Calibri" w:hAnsi="Calibri" w:cs="Calibri"/>
          <w:bCs/>
          <w:sz w:val="22"/>
          <w:szCs w:val="22"/>
        </w:rPr>
        <w:t xml:space="preserve">and </w:t>
      </w:r>
      <w:r w:rsidR="00B21983" w:rsidRPr="00B21983">
        <w:rPr>
          <w:rFonts w:ascii="Calibri" w:hAnsi="Calibri" w:cs="Calibri"/>
          <w:bCs/>
          <w:sz w:val="22"/>
          <w:szCs w:val="22"/>
        </w:rPr>
        <w:t>appreciated the ongoing support and bi-weekly check-ins.</w:t>
      </w:r>
      <w:r w:rsidR="000419E5">
        <w:rPr>
          <w:rFonts w:ascii="Calibri" w:hAnsi="Calibri" w:cs="Calibri"/>
          <w:bCs/>
          <w:sz w:val="22"/>
          <w:szCs w:val="22"/>
        </w:rPr>
        <w:t xml:space="preserve"> </w:t>
      </w:r>
    </w:p>
    <w:p w14:paraId="686933F4" w14:textId="7FE06E23"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Served as a mental health consultant to school community that included parents/caregivers, teachers, principal, academic counselor, and bilingual community liaison to address students’ well</w:t>
      </w:r>
      <w:r w:rsidR="00617B80">
        <w:rPr>
          <w:rFonts w:ascii="Calibri" w:hAnsi="Calibri" w:cs="Calibri"/>
          <w:bCs/>
          <w:sz w:val="22"/>
          <w:szCs w:val="22"/>
        </w:rPr>
        <w:t>-</w:t>
      </w:r>
      <w:r w:rsidR="00B21983" w:rsidRPr="00B21983">
        <w:rPr>
          <w:rFonts w:ascii="Calibri" w:hAnsi="Calibri" w:cs="Calibri"/>
          <w:bCs/>
          <w:sz w:val="22"/>
          <w:szCs w:val="22"/>
        </w:rPr>
        <w:t>being and identify supportive services and/or programs.</w:t>
      </w:r>
      <w:r w:rsidR="000419E5">
        <w:rPr>
          <w:rFonts w:ascii="Calibri" w:hAnsi="Calibri" w:cs="Calibri"/>
          <w:bCs/>
          <w:sz w:val="22"/>
          <w:szCs w:val="22"/>
        </w:rPr>
        <w:t xml:space="preserve"> </w:t>
      </w:r>
      <w:r w:rsidR="00B21983" w:rsidRPr="00B21983">
        <w:rPr>
          <w:rFonts w:ascii="Calibri" w:hAnsi="Calibri" w:cs="Calibri"/>
          <w:bCs/>
          <w:sz w:val="22"/>
          <w:szCs w:val="22"/>
        </w:rPr>
        <w:t xml:space="preserve"> </w:t>
      </w:r>
    </w:p>
    <w:p w14:paraId="26FB124D" w14:textId="401457D5"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lastRenderedPageBreak/>
        <w:t xml:space="preserve">• </w:t>
      </w:r>
      <w:r w:rsidR="00B21983" w:rsidRPr="00B21983">
        <w:rPr>
          <w:rFonts w:ascii="Calibri" w:hAnsi="Calibri" w:cs="Calibri"/>
          <w:bCs/>
          <w:sz w:val="22"/>
          <w:szCs w:val="22"/>
        </w:rPr>
        <w:t>Addressed approximately 4 on-campus mental health cris</w:t>
      </w:r>
      <w:r w:rsidR="00617B80">
        <w:rPr>
          <w:rFonts w:ascii="Calibri" w:hAnsi="Calibri" w:cs="Calibri"/>
          <w:bCs/>
          <w:sz w:val="22"/>
          <w:szCs w:val="22"/>
        </w:rPr>
        <w:t>e</w:t>
      </w:r>
      <w:r w:rsidR="00B21983" w:rsidRPr="00B21983">
        <w:rPr>
          <w:rFonts w:ascii="Calibri" w:hAnsi="Calibri" w:cs="Calibri"/>
          <w:bCs/>
          <w:sz w:val="22"/>
          <w:szCs w:val="22"/>
        </w:rPr>
        <w:t>s, helping to de-escalate and provide supportive services and/or resources, as</w:t>
      </w:r>
      <w:r w:rsidR="00617B80">
        <w:rPr>
          <w:rFonts w:ascii="Calibri" w:hAnsi="Calibri" w:cs="Calibri"/>
          <w:bCs/>
          <w:sz w:val="22"/>
          <w:szCs w:val="22"/>
        </w:rPr>
        <w:t xml:space="preserve"> </w:t>
      </w:r>
      <w:r w:rsidR="00B21983" w:rsidRPr="00B21983">
        <w:rPr>
          <w:rFonts w:ascii="Calibri" w:hAnsi="Calibri" w:cs="Calibri"/>
          <w:bCs/>
          <w:sz w:val="22"/>
          <w:szCs w:val="22"/>
        </w:rPr>
        <w:t>appropriate.</w:t>
      </w:r>
      <w:r w:rsidR="000419E5">
        <w:rPr>
          <w:rFonts w:ascii="Calibri" w:hAnsi="Calibri" w:cs="Calibri"/>
          <w:bCs/>
          <w:sz w:val="22"/>
          <w:szCs w:val="22"/>
        </w:rPr>
        <w:t xml:space="preserve"> </w:t>
      </w:r>
      <w:r w:rsidR="00B21983" w:rsidRPr="00B21983">
        <w:rPr>
          <w:rFonts w:ascii="Calibri" w:hAnsi="Calibri" w:cs="Calibri"/>
          <w:bCs/>
          <w:sz w:val="22"/>
          <w:szCs w:val="22"/>
        </w:rPr>
        <w:t xml:space="preserve"> </w:t>
      </w:r>
    </w:p>
    <w:p w14:paraId="08F9E31A" w14:textId="7477D9F8"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Coordinated, facilitated 3 principal meetings to address end-of the-year support, graduation, student needs, and other relevant topics to support the school milieu.</w:t>
      </w:r>
      <w:r w:rsidR="000419E5">
        <w:rPr>
          <w:rFonts w:ascii="Calibri" w:hAnsi="Calibri" w:cs="Calibri"/>
          <w:bCs/>
          <w:sz w:val="22"/>
          <w:szCs w:val="22"/>
        </w:rPr>
        <w:t xml:space="preserve"> </w:t>
      </w:r>
    </w:p>
    <w:p w14:paraId="758A08BA" w14:textId="098DF8A6"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Successfully coordinated 3 on-campus presentations to school-community: Hospitality Training Academy, City of Santa Monica Trades Intern Program, and Santa Monica College Campus Tour.</w:t>
      </w:r>
      <w:r w:rsidR="000419E5">
        <w:rPr>
          <w:rFonts w:ascii="Calibri" w:hAnsi="Calibri" w:cs="Calibri"/>
          <w:bCs/>
          <w:sz w:val="22"/>
          <w:szCs w:val="22"/>
        </w:rPr>
        <w:t xml:space="preserve"> </w:t>
      </w:r>
    </w:p>
    <w:p w14:paraId="4B7DAED2" w14:textId="093F8708"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Disseminated resources to school community on employment, trades program, off-campus mental health services, legal services, optometry services, community college programs and services, adult education program and parenting programs.</w:t>
      </w:r>
      <w:r w:rsidR="000419E5">
        <w:rPr>
          <w:rFonts w:ascii="Calibri" w:hAnsi="Calibri" w:cs="Calibri"/>
          <w:bCs/>
          <w:sz w:val="22"/>
          <w:szCs w:val="22"/>
        </w:rPr>
        <w:t xml:space="preserve"> </w:t>
      </w:r>
      <w:r w:rsidR="00B21983" w:rsidRPr="00B21983">
        <w:rPr>
          <w:rFonts w:ascii="Calibri" w:hAnsi="Calibri" w:cs="Calibri"/>
          <w:bCs/>
          <w:sz w:val="22"/>
          <w:szCs w:val="22"/>
        </w:rPr>
        <w:t xml:space="preserve"> </w:t>
      </w:r>
    </w:p>
    <w:p w14:paraId="713B977C" w14:textId="145DBF7F" w:rsidR="00B21983" w:rsidRPr="00B21983" w:rsidRDefault="00C45BF8" w:rsidP="00617B80">
      <w:pPr>
        <w:spacing w:after="120"/>
        <w:jc w:val="both"/>
        <w:rPr>
          <w:rFonts w:ascii="Calibri" w:hAnsi="Calibri" w:cs="Calibri"/>
          <w:bCs/>
          <w:sz w:val="22"/>
          <w:szCs w:val="22"/>
        </w:rPr>
      </w:pPr>
      <w:r>
        <w:rPr>
          <w:rFonts w:ascii="Calibri" w:hAnsi="Calibri" w:cs="Calibri"/>
          <w:bCs/>
          <w:sz w:val="22"/>
          <w:szCs w:val="22"/>
        </w:rPr>
        <w:t xml:space="preserve">• </w:t>
      </w:r>
      <w:r w:rsidR="00B21983" w:rsidRPr="00B21983">
        <w:rPr>
          <w:rFonts w:ascii="Calibri" w:hAnsi="Calibri" w:cs="Calibri"/>
          <w:bCs/>
          <w:sz w:val="22"/>
          <w:szCs w:val="22"/>
        </w:rPr>
        <w:t>Assisted with acclimating new service provider to OHS, via a meet and greet, and provided them with on-campus information and monthly meetings updates.</w:t>
      </w:r>
      <w:r w:rsidR="000419E5">
        <w:rPr>
          <w:rFonts w:ascii="Calibri" w:hAnsi="Calibri" w:cs="Calibri"/>
          <w:bCs/>
          <w:sz w:val="22"/>
          <w:szCs w:val="22"/>
        </w:rPr>
        <w:t xml:space="preserve"> </w:t>
      </w:r>
    </w:p>
    <w:p w14:paraId="162F52BB" w14:textId="77777777" w:rsidR="00B21983" w:rsidRPr="00B21983" w:rsidRDefault="00B21983" w:rsidP="00617B80">
      <w:pPr>
        <w:spacing w:after="120"/>
        <w:jc w:val="both"/>
        <w:rPr>
          <w:rFonts w:ascii="Calibri" w:hAnsi="Calibri" w:cs="Calibri"/>
          <w:b/>
          <w:bCs/>
          <w:sz w:val="22"/>
          <w:szCs w:val="22"/>
        </w:rPr>
      </w:pPr>
      <w:r w:rsidRPr="00B21983">
        <w:rPr>
          <w:rFonts w:ascii="Calibri" w:hAnsi="Calibri" w:cs="Calibri"/>
          <w:b/>
          <w:bCs/>
          <w:sz w:val="22"/>
          <w:szCs w:val="22"/>
        </w:rPr>
        <w:t xml:space="preserve">Challenges </w:t>
      </w:r>
    </w:p>
    <w:p w14:paraId="2E7D7201" w14:textId="6A4BA36D" w:rsidR="00FD1717" w:rsidRPr="00B21983" w:rsidRDefault="00B21983" w:rsidP="00617B80">
      <w:pPr>
        <w:spacing w:after="120"/>
        <w:jc w:val="both"/>
        <w:rPr>
          <w:rFonts w:ascii="Calibri" w:hAnsi="Calibri" w:cs="Calibri"/>
          <w:bCs/>
          <w:sz w:val="22"/>
          <w:szCs w:val="22"/>
        </w:rPr>
      </w:pPr>
      <w:r w:rsidRPr="00B21983">
        <w:rPr>
          <w:rFonts w:ascii="Calibri" w:hAnsi="Calibri" w:cs="Calibri"/>
          <w:bCs/>
          <w:sz w:val="22"/>
          <w:szCs w:val="22"/>
        </w:rPr>
        <w:t xml:space="preserve">Challenges remained the same for this reporting period in regards to lack of physical space for on-campus providers. Unfortunately, there was no progress made to obtain additional space; therefore, on-campus providers worked collaboratively with school, including Illuminating SOL Therapy, Inc. to obtain any available shared space. </w:t>
      </w:r>
    </w:p>
    <w:p w14:paraId="6273BE7C" w14:textId="77D0D394" w:rsidR="00B21983" w:rsidRPr="00B21983" w:rsidRDefault="00B21983" w:rsidP="00617B80">
      <w:pPr>
        <w:spacing w:after="120"/>
        <w:jc w:val="both"/>
        <w:rPr>
          <w:rFonts w:ascii="Calibri" w:hAnsi="Calibri" w:cs="Calibri"/>
          <w:bCs/>
          <w:sz w:val="22"/>
          <w:szCs w:val="22"/>
        </w:rPr>
      </w:pPr>
      <w:r w:rsidRPr="00B21983">
        <w:rPr>
          <w:rFonts w:ascii="Calibri" w:hAnsi="Calibri" w:cs="Calibri"/>
          <w:bCs/>
          <w:sz w:val="22"/>
          <w:szCs w:val="22"/>
        </w:rPr>
        <w:t>OHS campus’ population this school year 2022-2023 was approximately 36, with approximately 7 providers including Illuminating SOL Therapy, Inc. Mental health referrals were prioritized to service providers, to ensure they had sufficient cases to remain on-site and provide direct service to the school-community.</w:t>
      </w:r>
      <w:r w:rsidR="000419E5">
        <w:rPr>
          <w:rFonts w:ascii="Calibri" w:hAnsi="Calibri" w:cs="Calibri"/>
          <w:bCs/>
          <w:sz w:val="22"/>
          <w:szCs w:val="22"/>
        </w:rPr>
        <w:t xml:space="preserve"> </w:t>
      </w:r>
      <w:r w:rsidRPr="00B21983">
        <w:rPr>
          <w:rFonts w:ascii="Calibri" w:hAnsi="Calibri" w:cs="Calibri"/>
          <w:bCs/>
          <w:sz w:val="22"/>
          <w:szCs w:val="22"/>
        </w:rPr>
        <w:t xml:space="preserve">Illuminated SOL Therapy, Inc. received primarily case management referrals as that was the immediate need for students; therefore, Illuminating SOL Therapy Inc. did not provide mental health services during this reporting period. </w:t>
      </w:r>
    </w:p>
    <w:p w14:paraId="0D5F848D" w14:textId="77777777" w:rsidR="00B21983" w:rsidRPr="00B21983" w:rsidRDefault="00B21983" w:rsidP="00617B80">
      <w:pPr>
        <w:spacing w:after="120"/>
        <w:jc w:val="both"/>
        <w:rPr>
          <w:rFonts w:ascii="Calibri" w:hAnsi="Calibri" w:cs="Calibri"/>
          <w:b/>
          <w:bCs/>
          <w:sz w:val="22"/>
          <w:szCs w:val="22"/>
        </w:rPr>
      </w:pPr>
      <w:r w:rsidRPr="00B21983">
        <w:rPr>
          <w:rFonts w:ascii="Calibri" w:hAnsi="Calibri" w:cs="Calibri"/>
          <w:b/>
          <w:bCs/>
          <w:sz w:val="22"/>
          <w:szCs w:val="22"/>
        </w:rPr>
        <w:t xml:space="preserve">Changes </w:t>
      </w:r>
    </w:p>
    <w:p w14:paraId="24509123" w14:textId="49E3587F" w:rsidR="00566E1D" w:rsidRDefault="00B21983" w:rsidP="00617B80">
      <w:pPr>
        <w:spacing w:after="120"/>
        <w:jc w:val="both"/>
        <w:rPr>
          <w:rFonts w:ascii="Calibri" w:hAnsi="Calibri" w:cs="Calibri"/>
          <w:bCs/>
          <w:sz w:val="22"/>
          <w:szCs w:val="22"/>
        </w:rPr>
      </w:pPr>
      <w:r w:rsidRPr="00B21983">
        <w:rPr>
          <w:rFonts w:ascii="Calibri" w:hAnsi="Calibri" w:cs="Calibri"/>
          <w:bCs/>
          <w:sz w:val="22"/>
          <w:szCs w:val="22"/>
        </w:rPr>
        <w:t>The changes mentioned in the prior reporting period remained during this reporting period, where Olympic High School (OHS) and Off Campus Learning Center (OCLC) are now co-located at Santa Monica Community College Campus. OHS was able to obtain a part-time academic counselor, which I was able to work closely with to support the school milieu.</w:t>
      </w:r>
    </w:p>
    <w:p w14:paraId="6389578A" w14:textId="77777777" w:rsidR="00C45BF8" w:rsidRPr="00B21983" w:rsidRDefault="00C45BF8" w:rsidP="000A20A5">
      <w:pPr>
        <w:jc w:val="both"/>
        <w:rPr>
          <w:rFonts w:asciiTheme="minorHAnsi" w:hAnsiTheme="minorHAnsi" w:cstheme="minorHAnsi"/>
          <w:sz w:val="22"/>
          <w:szCs w:val="22"/>
        </w:rPr>
      </w:pPr>
    </w:p>
    <w:p w14:paraId="7EA73D40" w14:textId="4FAF78DC" w:rsidR="00D04539" w:rsidRPr="00407667" w:rsidRDefault="00D04539"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D1656D">
        <w:rPr>
          <w:rFonts w:hint="eastAsia"/>
        </w:rPr>
        <w:t>SECTION I</w:t>
      </w:r>
      <w:r w:rsidRPr="00D1656D">
        <w:t>I</w:t>
      </w:r>
      <w:r w:rsidRPr="00D1656D">
        <w:rPr>
          <w:rFonts w:hint="eastAsia"/>
        </w:rPr>
        <w:t>:</w:t>
      </w:r>
      <w:r w:rsidR="000419E5" w:rsidRPr="00D1656D">
        <w:rPr>
          <w:rFonts w:hint="eastAsia"/>
        </w:rPr>
        <w:t xml:space="preserve"> </w:t>
      </w:r>
      <w:r w:rsidRPr="00D1656D">
        <w:rPr>
          <w:rFonts w:hint="eastAsia"/>
        </w:rPr>
        <w:t>ASSESSMENT, EVALUATION AND PARTICIPANT INVOLVEMENT</w:t>
      </w:r>
    </w:p>
    <w:p w14:paraId="70E5B223" w14:textId="6C350F61" w:rsidR="00D04539" w:rsidRDefault="00D04539" w:rsidP="000A20A5">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sidR="000419E5">
        <w:rPr>
          <w:i w:val="0"/>
          <w:sz w:val="21"/>
        </w:rPr>
        <w:t xml:space="preserve"> </w:t>
      </w:r>
    </w:p>
    <w:p w14:paraId="36EFEC84" w14:textId="77777777" w:rsidR="00D04539" w:rsidRDefault="00D04539" w:rsidP="000A20A5">
      <w:pPr>
        <w:pStyle w:val="BodyText"/>
        <w:rPr>
          <w:i w:val="0"/>
          <w:sz w:val="21"/>
        </w:rPr>
      </w:pPr>
    </w:p>
    <w:p w14:paraId="2D514AE9" w14:textId="1E5C77AC" w:rsidR="00D04539" w:rsidRDefault="00D04539" w:rsidP="000A20A5">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5C67C0A6" w14:textId="48A8EC1D" w:rsidR="00470182" w:rsidRPr="00D60405" w:rsidRDefault="00470182" w:rsidP="000A20A5">
      <w:pPr>
        <w:pStyle w:val="BodyText"/>
        <w:rPr>
          <w:rFonts w:asciiTheme="minorHAnsi" w:hAnsiTheme="minorHAnsi" w:cstheme="minorHAnsi"/>
          <w:i w:val="0"/>
          <w:szCs w:val="22"/>
        </w:rPr>
      </w:pPr>
    </w:p>
    <w:p w14:paraId="0951385B" w14:textId="77777777" w:rsidR="00566E1D" w:rsidRPr="00566E1D" w:rsidRDefault="00566E1D" w:rsidP="000A20A5">
      <w:pPr>
        <w:pStyle w:val="BodyText"/>
        <w:rPr>
          <w:rFonts w:asciiTheme="minorHAnsi" w:hAnsiTheme="minorHAnsi" w:cstheme="minorHAnsi"/>
          <w:b/>
          <w:i w:val="0"/>
          <w:szCs w:val="22"/>
        </w:rPr>
      </w:pPr>
      <w:r w:rsidRPr="00BE6920">
        <w:rPr>
          <w:rFonts w:asciiTheme="minorHAnsi" w:hAnsiTheme="minorHAnsi" w:cstheme="minorHAnsi"/>
          <w:b/>
          <w:i w:val="0"/>
          <w:szCs w:val="22"/>
        </w:rPr>
        <w:t>Venice Family Clinic Report</w:t>
      </w:r>
    </w:p>
    <w:p w14:paraId="43ADC460" w14:textId="77777777" w:rsidR="00FD1717" w:rsidRDefault="00470182" w:rsidP="00FD1717">
      <w:pPr>
        <w:pStyle w:val="BodyText"/>
        <w:spacing w:after="120"/>
        <w:rPr>
          <w:rFonts w:asciiTheme="minorHAnsi" w:hAnsiTheme="minorHAnsi" w:cstheme="minorHAnsi"/>
          <w:i w:val="0"/>
          <w:szCs w:val="22"/>
        </w:rPr>
      </w:pPr>
      <w:r w:rsidRPr="002422C1">
        <w:rPr>
          <w:rFonts w:asciiTheme="minorHAnsi" w:hAnsiTheme="minorHAnsi" w:cstheme="minorHAnsi"/>
          <w:i w:val="0"/>
          <w:szCs w:val="22"/>
        </w:rPr>
        <w:t>Venice Family Clini</w:t>
      </w:r>
      <w:r w:rsidR="00113620">
        <w:rPr>
          <w:rFonts w:asciiTheme="minorHAnsi" w:hAnsiTheme="minorHAnsi" w:cstheme="minorHAnsi"/>
          <w:i w:val="0"/>
          <w:szCs w:val="22"/>
        </w:rPr>
        <w:t xml:space="preserve">c’s School-Based Care Program </w:t>
      </w:r>
      <w:r w:rsidR="00120ED0">
        <w:rPr>
          <w:rFonts w:asciiTheme="minorHAnsi" w:hAnsiTheme="minorHAnsi" w:cstheme="minorHAnsi"/>
          <w:i w:val="0"/>
          <w:szCs w:val="22"/>
        </w:rPr>
        <w:t>Manager</w:t>
      </w:r>
      <w:r w:rsidRPr="002422C1">
        <w:rPr>
          <w:rFonts w:asciiTheme="minorHAnsi" w:hAnsiTheme="minorHAnsi" w:cstheme="minorHAnsi"/>
          <w:i w:val="0"/>
          <w:szCs w:val="22"/>
        </w:rPr>
        <w:t xml:space="preserve"> is regularly assessing and evaluating our services at Santa Monica High School. This starts with an assessment of productivity and </w:t>
      </w:r>
      <w:r w:rsidR="00D16B4C" w:rsidRPr="002422C1">
        <w:rPr>
          <w:rFonts w:asciiTheme="minorHAnsi" w:hAnsiTheme="minorHAnsi" w:cstheme="minorHAnsi"/>
          <w:i w:val="0"/>
          <w:szCs w:val="22"/>
        </w:rPr>
        <w:t>appointment availability. She checks the appointment grids weekly and follows up with the Site Manager as needed. At the same time</w:t>
      </w:r>
      <w:r w:rsidR="00120ED0">
        <w:rPr>
          <w:rFonts w:asciiTheme="minorHAnsi" w:hAnsiTheme="minorHAnsi" w:cstheme="minorHAnsi"/>
          <w:i w:val="0"/>
          <w:szCs w:val="22"/>
        </w:rPr>
        <w:t>,</w:t>
      </w:r>
      <w:r w:rsidR="00D16B4C" w:rsidRPr="002422C1">
        <w:rPr>
          <w:rFonts w:asciiTheme="minorHAnsi" w:hAnsiTheme="minorHAnsi" w:cstheme="minorHAnsi"/>
          <w:i w:val="0"/>
          <w:szCs w:val="22"/>
        </w:rPr>
        <w:t xml:space="preserve"> she works to engage the school leadership and ensure that their processes for outreach remain in place and consider changes as needed. These include describing Venice Family Clinic services in the morning announcements, referrals from the school nurse, and referrals from the athletic director. Our Program Manager also tracks no-show rates monthly. She connects with other service providers through a number of venues, including the Advisory Council and Cradle to Career meetings, where she can ask about how process changes are impacting clients to make sure they have their intended impact.</w:t>
      </w:r>
    </w:p>
    <w:p w14:paraId="0E2840A1" w14:textId="2DFB1F8C" w:rsidR="00693CE0" w:rsidRDefault="00D1656D" w:rsidP="000A20A5">
      <w:pPr>
        <w:pStyle w:val="BodyText"/>
        <w:rPr>
          <w:rFonts w:asciiTheme="minorHAnsi" w:hAnsiTheme="minorHAnsi" w:cstheme="minorHAnsi"/>
          <w:i w:val="0"/>
          <w:szCs w:val="22"/>
        </w:rPr>
      </w:pPr>
      <w:r>
        <w:rPr>
          <w:rFonts w:asciiTheme="minorHAnsi" w:hAnsiTheme="minorHAnsi" w:cstheme="minorHAnsi"/>
          <w:i w:val="0"/>
          <w:szCs w:val="22"/>
        </w:rPr>
        <w:t xml:space="preserve">Additionally, in an effort to collaborate with other service providers and leverage our services, in this reporting period our </w:t>
      </w:r>
      <w:r w:rsidR="00693CE0" w:rsidRPr="00693CE0">
        <w:rPr>
          <w:rFonts w:asciiTheme="minorHAnsi" w:hAnsiTheme="minorHAnsi" w:cstheme="minorHAnsi"/>
          <w:i w:val="0"/>
          <w:szCs w:val="22"/>
        </w:rPr>
        <w:t>Health Educator participated in the Wellness Resource Fair at S</w:t>
      </w:r>
      <w:r w:rsidR="00693CE0">
        <w:rPr>
          <w:rFonts w:asciiTheme="minorHAnsi" w:hAnsiTheme="minorHAnsi" w:cstheme="minorHAnsi"/>
          <w:i w:val="0"/>
          <w:szCs w:val="22"/>
        </w:rPr>
        <w:t xml:space="preserve">AMOHI </w:t>
      </w:r>
      <w:r w:rsidR="00693CE0" w:rsidRPr="00693CE0">
        <w:rPr>
          <w:rFonts w:asciiTheme="minorHAnsi" w:hAnsiTheme="minorHAnsi" w:cstheme="minorHAnsi"/>
          <w:i w:val="0"/>
          <w:szCs w:val="22"/>
        </w:rPr>
        <w:t xml:space="preserve">to further explain Venice Family Clinic services offered to </w:t>
      </w:r>
      <w:r>
        <w:rPr>
          <w:rFonts w:asciiTheme="minorHAnsi" w:hAnsiTheme="minorHAnsi" w:cstheme="minorHAnsi"/>
          <w:i w:val="0"/>
          <w:szCs w:val="22"/>
        </w:rPr>
        <w:t>SAMOHI</w:t>
      </w:r>
      <w:r w:rsidR="00693CE0" w:rsidRPr="00693CE0">
        <w:rPr>
          <w:rFonts w:asciiTheme="minorHAnsi" w:hAnsiTheme="minorHAnsi" w:cstheme="minorHAnsi"/>
          <w:i w:val="0"/>
          <w:szCs w:val="22"/>
        </w:rPr>
        <w:t xml:space="preserve"> students.</w:t>
      </w:r>
    </w:p>
    <w:p w14:paraId="43D57201" w14:textId="38CA8324" w:rsidR="00566E1D" w:rsidRDefault="00566E1D" w:rsidP="000A20A5">
      <w:pPr>
        <w:pStyle w:val="BodyText"/>
        <w:rPr>
          <w:rFonts w:asciiTheme="minorHAnsi" w:hAnsiTheme="minorHAnsi" w:cstheme="minorHAnsi"/>
          <w:i w:val="0"/>
          <w:szCs w:val="22"/>
        </w:rPr>
      </w:pPr>
    </w:p>
    <w:p w14:paraId="4C15DE75" w14:textId="798DA791" w:rsidR="00566E1D" w:rsidRPr="00566E1D" w:rsidRDefault="00566E1D" w:rsidP="000A20A5">
      <w:pPr>
        <w:pStyle w:val="BodyText"/>
        <w:rPr>
          <w:rFonts w:asciiTheme="minorHAnsi" w:hAnsiTheme="minorHAnsi" w:cstheme="minorHAnsi"/>
          <w:b/>
          <w:i w:val="0"/>
          <w:szCs w:val="22"/>
        </w:rPr>
      </w:pPr>
      <w:r w:rsidRPr="00C45BF8">
        <w:rPr>
          <w:rFonts w:asciiTheme="minorHAnsi" w:hAnsiTheme="minorHAnsi" w:cstheme="minorHAnsi"/>
          <w:b/>
          <w:i w:val="0"/>
          <w:szCs w:val="22"/>
        </w:rPr>
        <w:t>Illuminating SOL Report</w:t>
      </w:r>
    </w:p>
    <w:p w14:paraId="2A0718A2" w14:textId="77777777" w:rsidR="00B21983" w:rsidRPr="00B21983" w:rsidRDefault="00B21983"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sidRPr="00B21983">
        <w:rPr>
          <w:rFonts w:ascii="Calibri" w:hAnsi="Calibri" w:cs="Calibri"/>
          <w:color w:val="000000" w:themeColor="text1"/>
          <w:sz w:val="22"/>
          <w:szCs w:val="22"/>
        </w:rPr>
        <w:t xml:space="preserve">During this reporting period, the following results were achieved: </w:t>
      </w:r>
    </w:p>
    <w:p w14:paraId="6D48BFF6" w14:textId="02D6E954" w:rsidR="00B21983" w:rsidRPr="00B21983" w:rsidRDefault="00C45BF8"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 xml:space="preserve">10 students received comprehensive case management services, four 12th grade students graduated early or on-time, and 7 received client support funds, 6 met with Santa Monica College counselor to discuss enrollment, transition plan, and/or academic and vocational programs as preparation for post-high school plans. </w:t>
      </w:r>
    </w:p>
    <w:p w14:paraId="1AF93AA7" w14:textId="085FD8B6" w:rsidR="00B21983" w:rsidRPr="00B21983" w:rsidRDefault="00C45BF8"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Hospitality Training Academy and City of Santa Monica Trades Intern program presented to Olympic High School campus regarding their respective programs, and students took their information for follow-up sessions.</w:t>
      </w:r>
      <w:r w:rsidR="000419E5">
        <w:rPr>
          <w:rFonts w:ascii="Calibri" w:hAnsi="Calibri" w:cs="Calibri"/>
          <w:color w:val="000000" w:themeColor="text1"/>
          <w:sz w:val="22"/>
          <w:szCs w:val="22"/>
        </w:rPr>
        <w:t xml:space="preserve"> </w:t>
      </w:r>
    </w:p>
    <w:p w14:paraId="664BDCED" w14:textId="02D03F78" w:rsidR="00B21983" w:rsidRPr="00B21983" w:rsidRDefault="00C45BF8"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Santa Monica College provided on-campus tour to approximately 10 OHS senior students, sharing programs, resources, and enrollment process.</w:t>
      </w:r>
      <w:r w:rsidR="000419E5">
        <w:rPr>
          <w:rFonts w:ascii="Calibri" w:hAnsi="Calibri" w:cs="Calibri"/>
          <w:color w:val="000000" w:themeColor="text1"/>
          <w:sz w:val="22"/>
          <w:szCs w:val="22"/>
        </w:rPr>
        <w:t xml:space="preserve"> </w:t>
      </w:r>
    </w:p>
    <w:p w14:paraId="07675C26" w14:textId="714995AA" w:rsidR="00B21983" w:rsidRPr="00B21983" w:rsidRDefault="00C45BF8"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Approximately 20 parent/caregiver conference meetings were held, some that included school principal, academic counselor, and/or teacher to meet the immediate needs of the student and provide supportive services to help improve their academic performance.</w:t>
      </w:r>
      <w:r w:rsidR="000419E5">
        <w:rPr>
          <w:rFonts w:ascii="Calibri" w:hAnsi="Calibri" w:cs="Calibri"/>
          <w:color w:val="000000" w:themeColor="text1"/>
          <w:sz w:val="22"/>
          <w:szCs w:val="22"/>
        </w:rPr>
        <w:t xml:space="preserve"> </w:t>
      </w:r>
    </w:p>
    <w:p w14:paraId="6E6A4DBD" w14:textId="14BDAF26" w:rsidR="00B21983" w:rsidRPr="00B21983" w:rsidRDefault="00C45BF8"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Provided parents/caregivers, students, and/or teachers with local community resource guide per their request. Resources included information on employment services, trades programs, off-campus mental health services, legal services, optometry services, community college programs and services, adult education programs and parenting programs.</w:t>
      </w:r>
      <w:r w:rsidR="000419E5">
        <w:rPr>
          <w:rFonts w:ascii="Calibri" w:hAnsi="Calibri" w:cs="Calibri"/>
          <w:color w:val="000000" w:themeColor="text1"/>
          <w:sz w:val="22"/>
          <w:szCs w:val="22"/>
        </w:rPr>
        <w:t xml:space="preserve"> </w:t>
      </w:r>
      <w:r w:rsidR="00B21983" w:rsidRPr="00B21983">
        <w:rPr>
          <w:rFonts w:ascii="Calibri" w:hAnsi="Calibri" w:cs="Calibri"/>
          <w:color w:val="000000" w:themeColor="text1"/>
          <w:sz w:val="22"/>
          <w:szCs w:val="22"/>
        </w:rPr>
        <w:t xml:space="preserve"> </w:t>
      </w:r>
    </w:p>
    <w:p w14:paraId="3B13AA60" w14:textId="3B830799" w:rsidR="00B21983" w:rsidRPr="00B21983" w:rsidRDefault="00B21983"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Calibri" w:hAnsi="Calibri" w:cs="Calibri"/>
          <w:color w:val="000000" w:themeColor="text1"/>
          <w:sz w:val="22"/>
          <w:szCs w:val="22"/>
        </w:rPr>
      </w:pPr>
      <w:r w:rsidRPr="00B21983">
        <w:rPr>
          <w:rFonts w:ascii="Calibri" w:hAnsi="Calibri" w:cs="Calibri"/>
          <w:color w:val="000000" w:themeColor="text1"/>
          <w:sz w:val="22"/>
          <w:szCs w:val="22"/>
        </w:rPr>
        <w:t>Illuminating SOL Therapy Inc. was instrumental and effective in ensuring the on-campus providers received the support and information needed during this reporting period, especially as the school-community adjusted to their new location, at Santa Monica College campus. The on-campus providers remained the same: Providence Saint John’s Social &amp; Emotional Wellness Initiative, Children Youth and Families Collaborative, Saint Joseph’s Center, CLARE MATRIX, and Santa Monica Malibu Unified School District. Illuminating SOL Therapy, Inc. was able to have two meet and greets, one with the new Children Youth and Families collaborative staff, and the second, with the part-time academic counselor that onboarded in February of this year.</w:t>
      </w:r>
      <w:r w:rsidR="000419E5">
        <w:rPr>
          <w:rFonts w:ascii="Calibri" w:hAnsi="Calibri" w:cs="Calibri"/>
          <w:color w:val="000000" w:themeColor="text1"/>
          <w:sz w:val="22"/>
          <w:szCs w:val="22"/>
        </w:rPr>
        <w:t xml:space="preserve"> </w:t>
      </w:r>
      <w:r w:rsidRPr="00B21983">
        <w:rPr>
          <w:rFonts w:ascii="Calibri" w:hAnsi="Calibri" w:cs="Calibri"/>
          <w:color w:val="000000" w:themeColor="text1"/>
          <w:sz w:val="22"/>
          <w:szCs w:val="22"/>
        </w:rPr>
        <w:t>The meet and greet was helpful in addressing school needs and/or specific students.</w:t>
      </w:r>
      <w:r w:rsidR="000419E5">
        <w:rPr>
          <w:rFonts w:ascii="Calibri" w:hAnsi="Calibri" w:cs="Calibri"/>
          <w:color w:val="000000" w:themeColor="text1"/>
          <w:sz w:val="22"/>
          <w:szCs w:val="22"/>
        </w:rPr>
        <w:t xml:space="preserve"> </w:t>
      </w:r>
    </w:p>
    <w:p w14:paraId="6F671EF2" w14:textId="6A7F865C" w:rsidR="007D7907" w:rsidRPr="003C643F" w:rsidRDefault="00B21983" w:rsidP="00DE5E9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sz w:val="22"/>
          <w:szCs w:val="22"/>
        </w:rPr>
      </w:pPr>
      <w:r w:rsidRPr="00B21983">
        <w:rPr>
          <w:rFonts w:ascii="Calibri" w:hAnsi="Calibri" w:cs="Calibri"/>
          <w:color w:val="000000" w:themeColor="text1"/>
          <w:sz w:val="22"/>
          <w:szCs w:val="22"/>
        </w:rPr>
        <w:t>Per the feedback of the on-campus providers and school, Illuminating SOL Therapy, Inc. did exemplary in her role in supporting the school milieu, always flexible, available, resourceful, and supportive in addressing the needs of the school.</w:t>
      </w:r>
      <w:r w:rsidR="000419E5">
        <w:rPr>
          <w:rFonts w:ascii="Calibri" w:hAnsi="Calibri" w:cs="Calibri"/>
          <w:color w:val="000000" w:themeColor="text1"/>
          <w:sz w:val="22"/>
          <w:szCs w:val="22"/>
        </w:rPr>
        <w:t xml:space="preserve"> </w:t>
      </w:r>
      <w:r w:rsidRPr="00B21983">
        <w:rPr>
          <w:rFonts w:ascii="Calibri" w:hAnsi="Calibri" w:cs="Calibri"/>
          <w:color w:val="000000" w:themeColor="text1"/>
          <w:sz w:val="22"/>
          <w:szCs w:val="22"/>
        </w:rPr>
        <w:t>The collaboration this reporting period continued to excel, each provider either providing individual services to students, social-emotional workshops, therapy groups, brief interventions, and/or supportive services to teachers and staff.</w:t>
      </w:r>
      <w:r w:rsidR="000419E5">
        <w:rPr>
          <w:rFonts w:ascii="Calibri" w:hAnsi="Calibri" w:cs="Calibri"/>
          <w:color w:val="000000" w:themeColor="text1"/>
          <w:sz w:val="22"/>
          <w:szCs w:val="22"/>
        </w:rPr>
        <w:t xml:space="preserve"> </w:t>
      </w:r>
      <w:r w:rsidRPr="00B21983">
        <w:rPr>
          <w:rFonts w:ascii="Calibri" w:hAnsi="Calibri" w:cs="Calibri"/>
          <w:color w:val="000000" w:themeColor="text1"/>
          <w:sz w:val="22"/>
          <w:szCs w:val="22"/>
        </w:rPr>
        <w:t>In spite of the challenges with physical space, the on-campus providers and Illuminating SOL Therapy, Inc. were able to successfully meet the needs of OHS campus.</w:t>
      </w:r>
      <w:r w:rsidR="000419E5">
        <w:rPr>
          <w:rFonts w:ascii="Calibri" w:hAnsi="Calibri" w:cs="Calibri"/>
          <w:color w:val="000000" w:themeColor="text1"/>
          <w:sz w:val="22"/>
          <w:szCs w:val="22"/>
        </w:rPr>
        <w:t xml:space="preserve"> </w:t>
      </w:r>
    </w:p>
    <w:p w14:paraId="4DF1E3D1" w14:textId="77777777" w:rsidR="00C45BF8" w:rsidRDefault="00C45BF8"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21B29AA" w14:textId="1B92130F" w:rsidR="007D7907" w:rsidRDefault="007D7907"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773E89">
        <w:t>SECTION III: BOARD INVOLVEMENT</w:t>
      </w:r>
    </w:p>
    <w:p w14:paraId="471A536C" w14:textId="77777777" w:rsidR="007D7907" w:rsidRDefault="007D7907" w:rsidP="000A20A5">
      <w:pPr>
        <w:pStyle w:val="BodyText"/>
        <w:tabs>
          <w:tab w:val="clear" w:pos="-1080"/>
          <w:tab w:val="clear" w:pos="1980"/>
          <w:tab w:val="clear" w:pos="2520"/>
          <w:tab w:val="left" w:pos="-1440"/>
          <w:tab w:val="left" w:pos="1710"/>
          <w:tab w:val="left" w:pos="2880"/>
        </w:tabs>
        <w:rPr>
          <w:i w:val="0"/>
          <w:sz w:val="21"/>
        </w:rPr>
      </w:pPr>
      <w:r>
        <w:rPr>
          <w:i w:val="0"/>
          <w:sz w:val="21"/>
        </w:rPr>
        <w:t>Please indicate:</w:t>
      </w:r>
    </w:p>
    <w:p w14:paraId="74B540AC" w14:textId="77777777" w:rsidR="00773E89" w:rsidRPr="00953BEB"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Number of Board meetings conducted during the reporting period</w:t>
      </w:r>
    </w:p>
    <w:p w14:paraId="687F05DC" w14:textId="77777777" w:rsidR="00773E89" w:rsidRDefault="00773E89" w:rsidP="000A20A5">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sidRPr="00953BEB">
        <w:rPr>
          <w:rFonts w:asciiTheme="minorHAnsi" w:hAnsiTheme="minorHAnsi" w:cstheme="minorHAnsi"/>
          <w:i w:val="0"/>
          <w:szCs w:val="22"/>
        </w:rPr>
        <w:t>There were six Board meeti</w:t>
      </w:r>
      <w:r>
        <w:rPr>
          <w:rFonts w:asciiTheme="minorHAnsi" w:hAnsiTheme="minorHAnsi" w:cstheme="minorHAnsi"/>
          <w:i w:val="0"/>
          <w:szCs w:val="22"/>
        </w:rPr>
        <w:t>ngs during the reporting period.</w:t>
      </w:r>
    </w:p>
    <w:p w14:paraId="6C10C108" w14:textId="77777777" w:rsidR="00773E89" w:rsidRDefault="00773E89" w:rsidP="000A20A5">
      <w:pPr>
        <w:pStyle w:val="BodyText"/>
        <w:tabs>
          <w:tab w:val="clear" w:pos="-1080"/>
          <w:tab w:val="clear" w:pos="1980"/>
          <w:tab w:val="clear" w:pos="2520"/>
          <w:tab w:val="left" w:pos="-1440"/>
          <w:tab w:val="left" w:pos="1710"/>
          <w:tab w:val="left" w:pos="2880"/>
        </w:tabs>
        <w:rPr>
          <w:i w:val="0"/>
          <w:sz w:val="21"/>
        </w:rPr>
      </w:pPr>
    </w:p>
    <w:p w14:paraId="59CA3043" w14:textId="77777777" w:rsidR="00773E89" w:rsidRPr="00953BEB"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Average Board member attendance</w:t>
      </w:r>
    </w:p>
    <w:p w14:paraId="3CAA6AF5" w14:textId="77777777" w:rsidR="00773E89" w:rsidRDefault="00773E89" w:rsidP="000A20A5">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sidRPr="004C7E17">
        <w:rPr>
          <w:rFonts w:asciiTheme="minorHAnsi" w:hAnsiTheme="minorHAnsi" w:cstheme="minorHAnsi"/>
          <w:i w:val="0"/>
          <w:szCs w:val="22"/>
        </w:rPr>
        <w:t>Average Board member attendance was 7</w:t>
      </w:r>
      <w:r>
        <w:rPr>
          <w:rFonts w:asciiTheme="minorHAnsi" w:hAnsiTheme="minorHAnsi" w:cstheme="minorHAnsi"/>
          <w:i w:val="0"/>
          <w:szCs w:val="22"/>
        </w:rPr>
        <w:t>1.3</w:t>
      </w:r>
      <w:r w:rsidRPr="004C7E17">
        <w:rPr>
          <w:rFonts w:asciiTheme="minorHAnsi" w:hAnsiTheme="minorHAnsi" w:cstheme="minorHAnsi"/>
          <w:i w:val="0"/>
          <w:szCs w:val="22"/>
        </w:rPr>
        <w:t>%.</w:t>
      </w:r>
    </w:p>
    <w:p w14:paraId="70D61311" w14:textId="77777777" w:rsidR="00773E89" w:rsidRPr="004C7E17" w:rsidRDefault="00773E89" w:rsidP="000A20A5">
      <w:pPr>
        <w:pStyle w:val="BodyText"/>
        <w:tabs>
          <w:tab w:val="clear" w:pos="-1080"/>
          <w:tab w:val="clear" w:pos="1980"/>
          <w:tab w:val="clear" w:pos="2520"/>
          <w:tab w:val="left" w:pos="-1440"/>
          <w:tab w:val="left" w:pos="1710"/>
          <w:tab w:val="left" w:pos="2880"/>
        </w:tabs>
        <w:rPr>
          <w:i w:val="0"/>
          <w:sz w:val="21"/>
        </w:rPr>
      </w:pPr>
    </w:p>
    <w:p w14:paraId="5FA659C0" w14:textId="77777777" w:rsidR="00773E89" w:rsidRPr="00BF38F4"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BF38F4">
        <w:rPr>
          <w:b/>
          <w:i w:val="0"/>
          <w:sz w:val="21"/>
        </w:rPr>
        <w:t>Board development activities conducted during the reporting period</w:t>
      </w:r>
    </w:p>
    <w:p w14:paraId="7B042A4B" w14:textId="5C6098DA" w:rsidR="00773E89" w:rsidRPr="004C7E17" w:rsidRDefault="00773E89" w:rsidP="00EC073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sz w:val="22"/>
          <w:szCs w:val="22"/>
        </w:rPr>
      </w:pPr>
      <w:r w:rsidRPr="004C7E17">
        <w:rPr>
          <w:rFonts w:asciiTheme="minorHAnsi" w:hAnsiTheme="minorHAnsi" w:cstheme="minorHAnsi"/>
          <w:sz w:val="22"/>
          <w:szCs w:val="22"/>
        </w:rPr>
        <w:t>The Board Development Committee</w:t>
      </w:r>
      <w:r>
        <w:rPr>
          <w:rFonts w:asciiTheme="minorHAnsi" w:hAnsiTheme="minorHAnsi" w:cstheme="minorHAnsi"/>
          <w:sz w:val="22"/>
          <w:szCs w:val="22"/>
        </w:rPr>
        <w:t xml:space="preserve"> met five times during the reporting period. This Committee</w:t>
      </w:r>
      <w:r w:rsidRPr="004C7E17">
        <w:rPr>
          <w:rFonts w:asciiTheme="minorHAnsi" w:hAnsiTheme="minorHAnsi" w:cstheme="minorHAnsi"/>
          <w:sz w:val="22"/>
          <w:szCs w:val="22"/>
        </w:rPr>
        <w:t xml:space="preserve"> is tasked with Board governance, including periodically reviewing the Clinic’s governing documents; identifying and recruiting new members of each of Venice Family Clinic’s three Boards; Board training and education; and ongoing evaluation of current members to ensure all are in good standing. Elections are held at the annual meeting in June, although members are also elected from time to time at other monthly Board meetings. Note that Venice Family Clinic’s CEO retired in December 2022 so the search for new consumer board members was put on hold </w:t>
      </w:r>
      <w:r w:rsidRPr="004C7E17">
        <w:rPr>
          <w:rFonts w:asciiTheme="minorHAnsi" w:hAnsiTheme="minorHAnsi" w:cstheme="minorHAnsi"/>
          <w:sz w:val="22"/>
          <w:szCs w:val="22"/>
        </w:rPr>
        <w:lastRenderedPageBreak/>
        <w:t>fo</w:t>
      </w:r>
      <w:r>
        <w:rPr>
          <w:rFonts w:asciiTheme="minorHAnsi" w:hAnsiTheme="minorHAnsi" w:cstheme="minorHAnsi"/>
          <w:sz w:val="22"/>
          <w:szCs w:val="22"/>
        </w:rPr>
        <w:t xml:space="preserve">r the last few months of 2022. </w:t>
      </w:r>
      <w:r w:rsidRPr="004C7E17">
        <w:rPr>
          <w:rFonts w:asciiTheme="minorHAnsi" w:hAnsiTheme="minorHAnsi" w:cstheme="minorHAnsi"/>
          <w:sz w:val="22"/>
          <w:szCs w:val="22"/>
        </w:rPr>
        <w:t xml:space="preserve">Starting in January 2023, with a new CEO on board, </w:t>
      </w:r>
      <w:r>
        <w:rPr>
          <w:rFonts w:asciiTheme="minorHAnsi" w:hAnsiTheme="minorHAnsi" w:cstheme="minorHAnsi"/>
          <w:sz w:val="22"/>
          <w:szCs w:val="22"/>
        </w:rPr>
        <w:t>our recruitment of new consumer board members focused</w:t>
      </w:r>
      <w:r w:rsidRPr="004C7E17">
        <w:rPr>
          <w:rFonts w:asciiTheme="minorHAnsi" w:hAnsiTheme="minorHAnsi" w:cstheme="minorHAnsi"/>
          <w:sz w:val="22"/>
          <w:szCs w:val="22"/>
        </w:rPr>
        <w:t xml:space="preserve"> </w:t>
      </w:r>
      <w:r>
        <w:rPr>
          <w:rFonts w:asciiTheme="minorHAnsi" w:hAnsiTheme="minorHAnsi" w:cstheme="minorHAnsi"/>
          <w:sz w:val="22"/>
          <w:szCs w:val="22"/>
        </w:rPr>
        <w:t>on</w:t>
      </w:r>
      <w:r w:rsidRPr="004C7E17">
        <w:rPr>
          <w:rFonts w:asciiTheme="minorHAnsi" w:hAnsiTheme="minorHAnsi" w:cstheme="minorHAnsi"/>
          <w:sz w:val="22"/>
          <w:szCs w:val="22"/>
        </w:rPr>
        <w:t xml:space="preserve"> increasing diversity on the Board and locating patients who live or use sites located in the South Bay. </w:t>
      </w:r>
      <w:r w:rsidRPr="00953BEB">
        <w:rPr>
          <w:rFonts w:asciiTheme="minorHAnsi" w:hAnsiTheme="minorHAnsi" w:cstheme="minorHAnsi"/>
          <w:sz w:val="22"/>
          <w:szCs w:val="22"/>
        </w:rPr>
        <w:t>We sen</w:t>
      </w:r>
      <w:r>
        <w:rPr>
          <w:rFonts w:asciiTheme="minorHAnsi" w:hAnsiTheme="minorHAnsi" w:cstheme="minorHAnsi"/>
          <w:sz w:val="22"/>
          <w:szCs w:val="22"/>
        </w:rPr>
        <w:t>t</w:t>
      </w:r>
      <w:r w:rsidRPr="00953BEB">
        <w:rPr>
          <w:rFonts w:asciiTheme="minorHAnsi" w:hAnsiTheme="minorHAnsi" w:cstheme="minorHAnsi"/>
          <w:sz w:val="22"/>
          <w:szCs w:val="22"/>
        </w:rPr>
        <w:t xml:space="preserve"> flyers to our sites asking patients to indicate if they are interested in Clinic Board membership. Site managers, particularly those in the South Bay, are alerted and asked to help identify patients who may be interested.</w:t>
      </w:r>
      <w:r>
        <w:rPr>
          <w:rFonts w:asciiTheme="minorHAnsi" w:hAnsiTheme="minorHAnsi" w:cstheme="minorHAnsi"/>
          <w:sz w:val="22"/>
          <w:szCs w:val="22"/>
        </w:rPr>
        <w:t xml:space="preserve"> </w:t>
      </w:r>
      <w:r w:rsidRPr="00953BEB">
        <w:rPr>
          <w:rFonts w:asciiTheme="minorHAnsi" w:hAnsiTheme="minorHAnsi" w:cstheme="minorHAnsi"/>
          <w:sz w:val="22"/>
          <w:szCs w:val="22"/>
        </w:rPr>
        <w:t xml:space="preserve">As of July 2023, </w:t>
      </w:r>
      <w:r>
        <w:rPr>
          <w:rFonts w:asciiTheme="minorHAnsi" w:hAnsiTheme="minorHAnsi" w:cstheme="minorHAnsi"/>
          <w:sz w:val="22"/>
          <w:szCs w:val="22"/>
        </w:rPr>
        <w:t>we</w:t>
      </w:r>
      <w:r w:rsidRPr="00953BEB">
        <w:rPr>
          <w:rFonts w:asciiTheme="minorHAnsi" w:hAnsiTheme="minorHAnsi" w:cstheme="minorHAnsi"/>
          <w:sz w:val="22"/>
          <w:szCs w:val="22"/>
        </w:rPr>
        <w:t xml:space="preserve"> have 21 Clinic Board members.</w:t>
      </w:r>
    </w:p>
    <w:p w14:paraId="0CB11FF9" w14:textId="69ACD943" w:rsidR="00773E89" w:rsidRPr="004C7E17" w:rsidRDefault="00773E89" w:rsidP="00EC073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sz w:val="22"/>
          <w:szCs w:val="22"/>
        </w:rPr>
      </w:pPr>
      <w:r w:rsidRPr="004C7E17">
        <w:rPr>
          <w:rFonts w:asciiTheme="minorHAnsi" w:hAnsiTheme="minorHAnsi" w:cstheme="minorHAnsi"/>
          <w:sz w:val="22"/>
          <w:szCs w:val="22"/>
        </w:rPr>
        <w:t xml:space="preserve">The Committee’s work during the reporting period included the following:  </w:t>
      </w:r>
    </w:p>
    <w:p w14:paraId="0224570C" w14:textId="77777777" w:rsidR="00773E89" w:rsidRPr="00CE4F4E" w:rsidRDefault="00773E89" w:rsidP="00137FF8">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C</w:t>
      </w:r>
      <w:r w:rsidRPr="00CE4F4E">
        <w:rPr>
          <w:rFonts w:asciiTheme="minorHAnsi" w:hAnsiTheme="minorHAnsi" w:cstheme="minorHAnsi"/>
          <w:i w:val="0"/>
          <w:iCs w:val="0"/>
          <w:szCs w:val="22"/>
        </w:rPr>
        <w:t>onducted a self-evaluation via survey and presented a report to the Board in February 2023</w:t>
      </w:r>
      <w:r>
        <w:rPr>
          <w:rFonts w:asciiTheme="minorHAnsi" w:hAnsiTheme="minorHAnsi" w:cstheme="minorHAnsi"/>
          <w:i w:val="0"/>
          <w:iCs w:val="0"/>
          <w:szCs w:val="22"/>
        </w:rPr>
        <w:t>.</w:t>
      </w:r>
    </w:p>
    <w:p w14:paraId="472C14B1" w14:textId="77777777" w:rsidR="00773E89" w:rsidRPr="00CE4F4E" w:rsidRDefault="00773E89" w:rsidP="00137FF8">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R</w:t>
      </w:r>
      <w:r w:rsidRPr="00CE4F4E">
        <w:rPr>
          <w:rFonts w:asciiTheme="minorHAnsi" w:hAnsiTheme="minorHAnsi" w:cstheme="minorHAnsi"/>
          <w:i w:val="0"/>
          <w:iCs w:val="0"/>
          <w:szCs w:val="22"/>
        </w:rPr>
        <w:t>ecommended a new member for the Foundation Board for a successful vote in the March 2023 Board meeting</w:t>
      </w:r>
      <w:r>
        <w:rPr>
          <w:rFonts w:asciiTheme="minorHAnsi" w:hAnsiTheme="minorHAnsi" w:cstheme="minorHAnsi"/>
          <w:i w:val="0"/>
          <w:iCs w:val="0"/>
          <w:szCs w:val="22"/>
        </w:rPr>
        <w:t>.</w:t>
      </w:r>
    </w:p>
    <w:p w14:paraId="0122A006" w14:textId="77777777" w:rsidR="00773E89" w:rsidRPr="00CE4F4E" w:rsidRDefault="00773E89" w:rsidP="00137FF8">
      <w:pPr>
        <w:pStyle w:val="BodyText"/>
        <w:tabs>
          <w:tab w:val="left" w:pos="-1440"/>
          <w:tab w:val="left" w:pos="1710"/>
          <w:tab w:val="left" w:pos="2880"/>
        </w:tabs>
        <w:rPr>
          <w:rFonts w:asciiTheme="minorHAnsi" w:hAnsiTheme="minorHAnsi" w:cstheme="minorHAnsi"/>
          <w:i w:val="0"/>
          <w:iCs w:val="0"/>
          <w:szCs w:val="22"/>
        </w:rPr>
      </w:pPr>
      <w:r>
        <w:rPr>
          <w:rFonts w:asciiTheme="minorHAnsi" w:hAnsiTheme="minorHAnsi" w:cstheme="minorHAnsi"/>
          <w:i w:val="0"/>
          <w:iCs w:val="0"/>
          <w:szCs w:val="22"/>
        </w:rPr>
        <w:t>--</w:t>
      </w:r>
      <w:r w:rsidRPr="00CE4F4E">
        <w:rPr>
          <w:rFonts w:asciiTheme="minorHAnsi" w:hAnsiTheme="minorHAnsi" w:cstheme="minorHAnsi"/>
          <w:i w:val="0"/>
          <w:iCs w:val="0"/>
          <w:szCs w:val="22"/>
        </w:rPr>
        <w:t>Interviewed, vetted, and recommended for election two patient Clinic Board candidates who were successfully voted to the Board</w:t>
      </w:r>
      <w:r>
        <w:rPr>
          <w:rFonts w:asciiTheme="minorHAnsi" w:hAnsiTheme="minorHAnsi" w:cstheme="minorHAnsi"/>
          <w:i w:val="0"/>
          <w:iCs w:val="0"/>
          <w:szCs w:val="22"/>
        </w:rPr>
        <w:t>.</w:t>
      </w:r>
    </w:p>
    <w:p w14:paraId="2861C8DE" w14:textId="77777777" w:rsidR="00773E89" w:rsidRPr="00CE4F4E" w:rsidRDefault="00773E89" w:rsidP="00137FF8">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V</w:t>
      </w:r>
      <w:r w:rsidRPr="00CE4F4E">
        <w:rPr>
          <w:rFonts w:asciiTheme="minorHAnsi" w:hAnsiTheme="minorHAnsi" w:cstheme="minorHAnsi"/>
          <w:i w:val="0"/>
          <w:iCs w:val="0"/>
          <w:szCs w:val="22"/>
        </w:rPr>
        <w:t>oted to expand the scope of the CEO Evaluation Committee to include leadership development and committee chair succession planning, and to rename it “CEO Evaluation and Leadership Development Committee”. The Board approved and voted for this in March 2023.</w:t>
      </w:r>
    </w:p>
    <w:p w14:paraId="6ECE5D15" w14:textId="6B0A49CA" w:rsidR="00773E89" w:rsidRDefault="00773E89" w:rsidP="00137FF8">
      <w:pPr>
        <w:pStyle w:val="BodyText"/>
        <w:tabs>
          <w:tab w:val="clear" w:pos="-1080"/>
          <w:tab w:val="clear" w:pos="1980"/>
          <w:tab w:val="clear" w:pos="2520"/>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--Reviewed Clinic and Foundation Board rosters to ensure that expiring memberships were renewed in the June 2023 Board meeting</w:t>
      </w:r>
      <w:r>
        <w:rPr>
          <w:rFonts w:asciiTheme="minorHAnsi" w:hAnsiTheme="minorHAnsi" w:cstheme="minorHAnsi"/>
          <w:i w:val="0"/>
          <w:iCs w:val="0"/>
          <w:szCs w:val="22"/>
        </w:rPr>
        <w:t>.</w:t>
      </w:r>
    </w:p>
    <w:p w14:paraId="04BDC711" w14:textId="77777777" w:rsidR="00137FF8" w:rsidRPr="00EC0737" w:rsidRDefault="00137FF8" w:rsidP="00137FF8">
      <w:pPr>
        <w:pStyle w:val="BodyText"/>
        <w:tabs>
          <w:tab w:val="clear" w:pos="-1080"/>
          <w:tab w:val="clear" w:pos="1980"/>
          <w:tab w:val="clear" w:pos="2520"/>
          <w:tab w:val="left" w:pos="-1440"/>
          <w:tab w:val="left" w:pos="1710"/>
          <w:tab w:val="left" w:pos="2880"/>
        </w:tabs>
        <w:rPr>
          <w:rFonts w:asciiTheme="minorHAnsi" w:hAnsiTheme="minorHAnsi" w:cstheme="minorHAnsi"/>
          <w:i w:val="0"/>
          <w:iCs w:val="0"/>
          <w:szCs w:val="22"/>
        </w:rPr>
      </w:pPr>
    </w:p>
    <w:p w14:paraId="7DD5F127" w14:textId="77777777" w:rsidR="00773E89" w:rsidRPr="00CE4F4E"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CE4F4E">
        <w:rPr>
          <w:b/>
          <w:i w:val="0"/>
          <w:sz w:val="21"/>
        </w:rPr>
        <w:t>Significant policy directions or actions taken by the Board during the reporting period</w:t>
      </w:r>
    </w:p>
    <w:p w14:paraId="13914F32"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--Strategic Planning – Report to inform new leadership as it prepares to generate the Clinic’s next five-year strategic plan</w:t>
      </w:r>
      <w:r>
        <w:rPr>
          <w:rFonts w:asciiTheme="minorHAnsi" w:hAnsiTheme="minorHAnsi" w:cstheme="minorHAnsi"/>
          <w:i w:val="0"/>
          <w:iCs w:val="0"/>
          <w:color w:val="000000"/>
          <w:szCs w:val="22"/>
        </w:rPr>
        <w:t>.</w:t>
      </w:r>
    </w:p>
    <w:p w14:paraId="4897E58A"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--Payment of a retention bonus to eligible employees under the guidelines set forth by the State of California</w:t>
      </w:r>
      <w:r>
        <w:rPr>
          <w:rFonts w:asciiTheme="minorHAnsi" w:hAnsiTheme="minorHAnsi" w:cstheme="minorHAnsi"/>
          <w:i w:val="0"/>
          <w:iCs w:val="0"/>
          <w:color w:val="000000"/>
          <w:szCs w:val="22"/>
        </w:rPr>
        <w:t>.</w:t>
      </w:r>
    </w:p>
    <w:p w14:paraId="064DB7B4"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Sliding Fee Schedule and Policy</w:t>
      </w:r>
      <w:r>
        <w:rPr>
          <w:rFonts w:asciiTheme="minorHAnsi" w:hAnsiTheme="minorHAnsi" w:cstheme="minorHAnsi"/>
          <w:i w:val="0"/>
          <w:iCs w:val="0"/>
          <w:color w:val="000000"/>
          <w:szCs w:val="22"/>
        </w:rPr>
        <w:t>.</w:t>
      </w:r>
    </w:p>
    <w:p w14:paraId="6E8D1C53"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Behavioral Health Child Development – Annual Enrollment Training for Early Head Start</w:t>
      </w:r>
      <w:r>
        <w:rPr>
          <w:rFonts w:asciiTheme="minorHAnsi" w:hAnsiTheme="minorHAnsi" w:cstheme="minorHAnsi"/>
          <w:i w:val="0"/>
          <w:iCs w:val="0"/>
          <w:color w:val="000000"/>
          <w:szCs w:val="22"/>
        </w:rPr>
        <w:t>.</w:t>
      </w:r>
    </w:p>
    <w:p w14:paraId="3684953D"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Behavioral Health Child Development – Establish an Evidence-Based COVID-19 Mitigation policy</w:t>
      </w:r>
      <w:r>
        <w:rPr>
          <w:rFonts w:asciiTheme="minorHAnsi" w:hAnsiTheme="minorHAnsi" w:cstheme="minorHAnsi"/>
          <w:i w:val="0"/>
          <w:iCs w:val="0"/>
          <w:color w:val="000000"/>
          <w:szCs w:val="22"/>
        </w:rPr>
        <w:t>.</w:t>
      </w:r>
    </w:p>
    <w:p w14:paraId="175E0D05"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FY 2023 Head Start Funding Increase ACF-PI-HS-23-02</w:t>
      </w:r>
      <w:r>
        <w:rPr>
          <w:rFonts w:asciiTheme="minorHAnsi" w:hAnsiTheme="minorHAnsi" w:cstheme="minorHAnsi"/>
          <w:i w:val="0"/>
          <w:iCs w:val="0"/>
          <w:color w:val="000000"/>
          <w:szCs w:val="22"/>
        </w:rPr>
        <w:t>.</w:t>
      </w:r>
    </w:p>
    <w:p w14:paraId="0E2633B7"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--Medical Practice - Shift quality management plan to be renewed on a calendar year schedule and extend current plan through December 2023</w:t>
      </w:r>
      <w:r>
        <w:rPr>
          <w:rFonts w:asciiTheme="minorHAnsi" w:hAnsiTheme="minorHAnsi" w:cstheme="minorHAnsi"/>
          <w:i w:val="0"/>
          <w:iCs w:val="0"/>
          <w:color w:val="000000"/>
          <w:szCs w:val="22"/>
        </w:rPr>
        <w:t>.</w:t>
      </w:r>
    </w:p>
    <w:p w14:paraId="6A9A9E1D"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--UCLA V</w:t>
      </w:r>
      <w:r>
        <w:rPr>
          <w:rFonts w:asciiTheme="minorHAnsi" w:hAnsiTheme="minorHAnsi" w:cstheme="minorHAnsi"/>
          <w:i w:val="0"/>
          <w:iCs w:val="0"/>
          <w:color w:val="000000"/>
          <w:szCs w:val="22"/>
        </w:rPr>
        <w:t xml:space="preserve">enice </w:t>
      </w:r>
      <w:r w:rsidRPr="00BF38F4">
        <w:rPr>
          <w:rFonts w:asciiTheme="minorHAnsi" w:hAnsiTheme="minorHAnsi" w:cstheme="minorHAnsi"/>
          <w:i w:val="0"/>
          <w:iCs w:val="0"/>
          <w:color w:val="000000"/>
          <w:szCs w:val="22"/>
        </w:rPr>
        <w:t>F</w:t>
      </w:r>
      <w:r>
        <w:rPr>
          <w:rFonts w:asciiTheme="minorHAnsi" w:hAnsiTheme="minorHAnsi" w:cstheme="minorHAnsi"/>
          <w:i w:val="0"/>
          <w:iCs w:val="0"/>
          <w:color w:val="000000"/>
          <w:szCs w:val="22"/>
        </w:rPr>
        <w:t xml:space="preserve">amily </w:t>
      </w:r>
      <w:r w:rsidRPr="00BF38F4">
        <w:rPr>
          <w:rFonts w:asciiTheme="minorHAnsi" w:hAnsiTheme="minorHAnsi" w:cstheme="minorHAnsi"/>
          <w:i w:val="0"/>
          <w:iCs w:val="0"/>
          <w:color w:val="000000"/>
          <w:szCs w:val="22"/>
        </w:rPr>
        <w:t>C</w:t>
      </w:r>
      <w:r>
        <w:rPr>
          <w:rFonts w:asciiTheme="minorHAnsi" w:hAnsiTheme="minorHAnsi" w:cstheme="minorHAnsi"/>
          <w:i w:val="0"/>
          <w:iCs w:val="0"/>
          <w:color w:val="000000"/>
          <w:szCs w:val="22"/>
        </w:rPr>
        <w:t>linic</w:t>
      </w:r>
      <w:r w:rsidRPr="00BF38F4">
        <w:rPr>
          <w:rFonts w:asciiTheme="minorHAnsi" w:hAnsiTheme="minorHAnsi" w:cstheme="minorHAnsi"/>
          <w:i w:val="0"/>
          <w:iCs w:val="0"/>
          <w:color w:val="000000"/>
          <w:szCs w:val="22"/>
        </w:rPr>
        <w:t xml:space="preserve"> Affiliation Agreement – Second Amendment</w:t>
      </w:r>
      <w:r>
        <w:rPr>
          <w:rFonts w:asciiTheme="minorHAnsi" w:hAnsiTheme="minorHAnsi" w:cstheme="minorHAnsi"/>
          <w:i w:val="0"/>
          <w:iCs w:val="0"/>
          <w:color w:val="000000"/>
          <w:szCs w:val="22"/>
        </w:rPr>
        <w:t>.</w:t>
      </w:r>
    </w:p>
    <w:p w14:paraId="48B0A5F0"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Operations - Patient Eligibility Policy</w:t>
      </w:r>
      <w:r>
        <w:rPr>
          <w:rFonts w:asciiTheme="minorHAnsi" w:hAnsiTheme="minorHAnsi" w:cstheme="minorHAnsi"/>
          <w:i w:val="0"/>
          <w:iCs w:val="0"/>
          <w:color w:val="000000"/>
          <w:szCs w:val="22"/>
        </w:rPr>
        <w:t>.</w:t>
      </w:r>
    </w:p>
    <w:p w14:paraId="3BDAB524"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--Fiscal Policy Procedure: Capital Project Policy</w:t>
      </w:r>
      <w:r>
        <w:rPr>
          <w:rFonts w:asciiTheme="minorHAnsi" w:hAnsiTheme="minorHAnsi" w:cstheme="minorHAnsi"/>
          <w:i w:val="0"/>
          <w:iCs w:val="0"/>
          <w:color w:val="000000"/>
          <w:szCs w:val="22"/>
        </w:rPr>
        <w:t>.</w:t>
      </w:r>
    </w:p>
    <w:p w14:paraId="5063EE75"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--Letter of Credit to purchase 612 Parking lot</w:t>
      </w:r>
      <w:r>
        <w:rPr>
          <w:rFonts w:asciiTheme="minorHAnsi" w:hAnsiTheme="minorHAnsi" w:cstheme="minorHAnsi"/>
          <w:i w:val="0"/>
          <w:iCs w:val="0"/>
          <w:color w:val="000000"/>
          <w:szCs w:val="22"/>
        </w:rPr>
        <w:t>.</w:t>
      </w:r>
    </w:p>
    <w:p w14:paraId="24BFEA2E"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--Revise Clinic Bylaws Description and name of the CEO Evaluation Committee</w:t>
      </w:r>
      <w:r>
        <w:rPr>
          <w:rFonts w:asciiTheme="minorHAnsi" w:hAnsiTheme="minorHAnsi" w:cstheme="minorHAnsi"/>
          <w:i w:val="0"/>
          <w:iCs w:val="0"/>
          <w:color w:val="000000"/>
          <w:szCs w:val="22"/>
        </w:rPr>
        <w:t>.</w:t>
      </w:r>
    </w:p>
    <w:p w14:paraId="71879ADC"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Venice Family Clinic FY 2022 Tax Return</w:t>
      </w:r>
      <w:r>
        <w:rPr>
          <w:rFonts w:asciiTheme="minorHAnsi" w:hAnsiTheme="minorHAnsi" w:cstheme="minorHAnsi"/>
          <w:i w:val="0"/>
          <w:iCs w:val="0"/>
          <w:color w:val="000000"/>
          <w:szCs w:val="22"/>
        </w:rPr>
        <w:t>.</w:t>
      </w:r>
    </w:p>
    <w:p w14:paraId="7A4CD3F1"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Venice Family Clinic Foundation FY 2022 Tax Returns</w:t>
      </w:r>
      <w:r>
        <w:rPr>
          <w:rFonts w:asciiTheme="minorHAnsi" w:hAnsiTheme="minorHAnsi" w:cstheme="minorHAnsi"/>
          <w:i w:val="0"/>
          <w:iCs w:val="0"/>
          <w:color w:val="000000"/>
          <w:szCs w:val="22"/>
        </w:rPr>
        <w:t>.</w:t>
      </w:r>
    </w:p>
    <w:p w14:paraId="706BC5A6"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--Resource Development – New Name 604 Rose Building: Chuck Lorre Rose Avenue Health and Wellness Center</w:t>
      </w:r>
      <w:r>
        <w:rPr>
          <w:rFonts w:asciiTheme="minorHAnsi" w:hAnsiTheme="minorHAnsi" w:cstheme="minorHAnsi"/>
          <w:i w:val="0"/>
          <w:iCs w:val="0"/>
          <w:color w:val="000000"/>
          <w:szCs w:val="22"/>
        </w:rPr>
        <w:t>.</w:t>
      </w:r>
    </w:p>
    <w:p w14:paraId="718A704E"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--Finance Committee - Approval of 2023-2024 FY Operating Budget</w:t>
      </w:r>
      <w:r>
        <w:rPr>
          <w:rFonts w:asciiTheme="minorHAnsi" w:hAnsiTheme="minorHAnsi" w:cstheme="minorHAnsi"/>
          <w:i w:val="0"/>
          <w:iCs w:val="0"/>
          <w:color w:val="000000"/>
          <w:szCs w:val="22"/>
        </w:rPr>
        <w:t>.</w:t>
      </w:r>
    </w:p>
    <w:p w14:paraId="67035C0A"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Budget Carryover for 09CH010748 for year ended 12/31/22</w:t>
      </w:r>
      <w:r>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Total of $2,677,558</w:t>
      </w:r>
      <w:r>
        <w:rPr>
          <w:rFonts w:asciiTheme="minorHAnsi" w:hAnsiTheme="minorHAnsi" w:cstheme="minorHAnsi"/>
          <w:i w:val="0"/>
          <w:iCs w:val="0"/>
          <w:color w:val="000000"/>
          <w:szCs w:val="22"/>
        </w:rPr>
        <w:t>.</w:t>
      </w:r>
    </w:p>
    <w:p w14:paraId="06EEE7A5" w14:textId="77777777" w:rsidR="00773E89" w:rsidRPr="00BF38F4" w:rsidRDefault="00773E89" w:rsidP="000A20A5">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Low Cost Extension for 09CH00393-003 to 5/31/24</w:t>
      </w:r>
      <w:r>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$2,326,382</w:t>
      </w:r>
      <w:r>
        <w:rPr>
          <w:rFonts w:asciiTheme="minorHAnsi" w:hAnsiTheme="minorHAnsi" w:cstheme="minorHAnsi"/>
          <w:i w:val="0"/>
          <w:iCs w:val="0"/>
          <w:color w:val="000000"/>
          <w:szCs w:val="22"/>
        </w:rPr>
        <w:t>.</w:t>
      </w:r>
    </w:p>
    <w:p w14:paraId="163949A9" w14:textId="77777777" w:rsidR="00773E89" w:rsidRDefault="00773E89" w:rsidP="000A20A5">
      <w:pPr>
        <w:pStyle w:val="BodyText"/>
        <w:tabs>
          <w:tab w:val="clear" w:pos="-1080"/>
          <w:tab w:val="clear" w:pos="1980"/>
          <w:tab w:val="clear" w:pos="2520"/>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Budget for 09CH010748-04-C3 for Year ended 12-31-22</w:t>
      </w:r>
      <w:r>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Total of $50,530</w:t>
      </w:r>
      <w:r>
        <w:rPr>
          <w:rFonts w:asciiTheme="minorHAnsi" w:hAnsiTheme="minorHAnsi" w:cstheme="minorHAnsi"/>
          <w:i w:val="0"/>
          <w:iCs w:val="0"/>
          <w:color w:val="000000"/>
          <w:szCs w:val="22"/>
        </w:rPr>
        <w:t>.</w:t>
      </w:r>
    </w:p>
    <w:p w14:paraId="2ECB8C06" w14:textId="77777777" w:rsidR="00773E89" w:rsidRDefault="00773E89" w:rsidP="000A20A5">
      <w:pPr>
        <w:pStyle w:val="BodyText"/>
        <w:tabs>
          <w:tab w:val="clear" w:pos="-1080"/>
          <w:tab w:val="clear" w:pos="1980"/>
          <w:tab w:val="clear" w:pos="2520"/>
          <w:tab w:val="left" w:pos="-1440"/>
          <w:tab w:val="left" w:pos="1710"/>
          <w:tab w:val="left" w:pos="2880"/>
        </w:tabs>
        <w:rPr>
          <w:i w:val="0"/>
          <w:sz w:val="21"/>
        </w:rPr>
      </w:pPr>
    </w:p>
    <w:p w14:paraId="51C77B6D" w14:textId="77777777" w:rsidR="00773E89" w:rsidRPr="00C852AB"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C852AB">
        <w:rPr>
          <w:b/>
          <w:i w:val="0"/>
          <w:sz w:val="21"/>
        </w:rPr>
        <w:t>Number of board members who reside and/or work in Santa Monica -</w:t>
      </w:r>
      <w:r w:rsidRPr="00C852AB">
        <w:rPr>
          <w:i w:val="0"/>
          <w:sz w:val="21"/>
        </w:rPr>
        <w:t xml:space="preserve"> </w:t>
      </w:r>
      <w:r w:rsidRPr="00C852AB">
        <w:rPr>
          <w:rFonts w:asciiTheme="minorHAnsi" w:hAnsiTheme="minorHAnsi" w:cstheme="minorHAnsi"/>
          <w:i w:val="0"/>
          <w:szCs w:val="22"/>
        </w:rPr>
        <w:t>3</w:t>
      </w:r>
    </w:p>
    <w:p w14:paraId="6CD6D5BE" w14:textId="77777777" w:rsidR="00773E89" w:rsidRPr="00D312BE" w:rsidRDefault="00773E89" w:rsidP="000A20A5">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Board vacancies and plans to fill those vacancies, if applicable –</w:t>
      </w:r>
      <w:r>
        <w:rPr>
          <w:i w:val="0"/>
          <w:sz w:val="21"/>
        </w:rPr>
        <w:t xml:space="preserve"> </w:t>
      </w:r>
      <w:r w:rsidRPr="004C7E17">
        <w:rPr>
          <w:rFonts w:asciiTheme="minorHAnsi" w:hAnsiTheme="minorHAnsi" w:cstheme="minorHAnsi"/>
          <w:i w:val="0"/>
          <w:szCs w:val="22"/>
        </w:rPr>
        <w:t>Not applicable</w:t>
      </w:r>
    </w:p>
    <w:p w14:paraId="6C6E79F6" w14:textId="77777777" w:rsidR="00E26D0F" w:rsidRDefault="00E26D0F"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0A20A5">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6AFC">
        <w:rPr>
          <w:rFonts w:hint="eastAsia"/>
        </w:rPr>
        <w:t xml:space="preserve">SECTION </w:t>
      </w:r>
      <w:r w:rsidRPr="009A6AFC">
        <w:t>IV</w:t>
      </w:r>
      <w:r w:rsidRPr="009A6AFC">
        <w:rPr>
          <w:rFonts w:hint="eastAsia"/>
        </w:rPr>
        <w:t>: STAFFING PATTERN</w:t>
      </w:r>
    </w:p>
    <w:p w14:paraId="5C67D97A" w14:textId="378C27FA" w:rsidR="00D04539" w:rsidRDefault="00D04539" w:rsidP="000A20A5">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w:t>
      </w:r>
      <w:r w:rsidR="000419E5">
        <w:rPr>
          <w:rFonts w:hint="eastAsia"/>
          <w:i w:val="0"/>
          <w:sz w:val="21"/>
        </w:rPr>
        <w:t xml:space="preserve"> </w:t>
      </w:r>
      <w:r>
        <w:rPr>
          <w:rFonts w:hint="eastAsia"/>
          <w:i w:val="0"/>
          <w:sz w:val="21"/>
        </w:rPr>
        <w:t xml:space="preserve"> </w:t>
      </w:r>
    </w:p>
    <w:p w14:paraId="16E66914" w14:textId="5AE6EA43" w:rsidR="00906E7E" w:rsidRDefault="00906E7E" w:rsidP="000A20A5">
      <w:pPr>
        <w:pStyle w:val="BodyText"/>
        <w:tabs>
          <w:tab w:val="clear" w:pos="-1080"/>
          <w:tab w:val="clear" w:pos="1980"/>
          <w:tab w:val="clear" w:pos="2520"/>
          <w:tab w:val="left" w:pos="-1440"/>
          <w:tab w:val="left" w:pos="1710"/>
          <w:tab w:val="left" w:pos="2880"/>
        </w:tabs>
        <w:rPr>
          <w:i w:val="0"/>
          <w:sz w:val="21"/>
        </w:rPr>
      </w:pPr>
    </w:p>
    <w:p w14:paraId="177F7291" w14:textId="77F42833" w:rsidR="00185EA1" w:rsidRDefault="007E6E65" w:rsidP="00185EA1">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Pr>
          <w:rFonts w:asciiTheme="minorHAnsi" w:hAnsiTheme="minorHAnsi" w:cstheme="minorHAnsi"/>
          <w:i w:val="0"/>
          <w:szCs w:val="22"/>
        </w:rPr>
        <w:lastRenderedPageBreak/>
        <w:t xml:space="preserve">As mentioned </w:t>
      </w:r>
      <w:r w:rsidR="00906E7E" w:rsidRPr="00906E7E">
        <w:rPr>
          <w:rFonts w:asciiTheme="minorHAnsi" w:hAnsiTheme="minorHAnsi" w:cstheme="minorHAnsi"/>
          <w:i w:val="0"/>
          <w:szCs w:val="22"/>
        </w:rPr>
        <w:t>in Section I</w:t>
      </w:r>
      <w:r>
        <w:rPr>
          <w:rFonts w:asciiTheme="minorHAnsi" w:hAnsiTheme="minorHAnsi" w:cstheme="minorHAnsi"/>
          <w:i w:val="0"/>
          <w:szCs w:val="22"/>
        </w:rPr>
        <w:t xml:space="preserve">, staffing continued to be a challenge in </w:t>
      </w:r>
      <w:r w:rsidR="009A6AFC">
        <w:rPr>
          <w:rFonts w:asciiTheme="minorHAnsi" w:hAnsiTheme="minorHAnsi" w:cstheme="minorHAnsi"/>
          <w:i w:val="0"/>
          <w:szCs w:val="22"/>
        </w:rPr>
        <w:t>this grant period</w:t>
      </w:r>
      <w:r>
        <w:rPr>
          <w:rFonts w:asciiTheme="minorHAnsi" w:hAnsiTheme="minorHAnsi" w:cstheme="minorHAnsi"/>
          <w:i w:val="0"/>
          <w:szCs w:val="22"/>
        </w:rPr>
        <w:t>.</w:t>
      </w:r>
      <w:r w:rsidR="00185EA1">
        <w:rPr>
          <w:rFonts w:asciiTheme="minorHAnsi" w:hAnsiTheme="minorHAnsi" w:cstheme="minorHAnsi"/>
          <w:i w:val="0"/>
          <w:szCs w:val="22"/>
        </w:rPr>
        <w:t xml:space="preserve"> We began 2023 with a full staff, many of whom were new and going through training. During this time, </w:t>
      </w:r>
      <w:r w:rsidR="008F727E">
        <w:rPr>
          <w:rFonts w:asciiTheme="minorHAnsi" w:hAnsiTheme="minorHAnsi" w:cstheme="minorHAnsi"/>
          <w:i w:val="0"/>
          <w:szCs w:val="22"/>
        </w:rPr>
        <w:t xml:space="preserve">in March </w:t>
      </w:r>
      <w:r w:rsidR="00185EA1">
        <w:rPr>
          <w:rFonts w:ascii="Calibri" w:hAnsi="Calibri" w:cs="Calibri"/>
          <w:i w:val="0"/>
          <w:iCs w:val="0"/>
          <w:szCs w:val="22"/>
        </w:rPr>
        <w:t>o</w:t>
      </w:r>
      <w:r w:rsidR="00185EA1" w:rsidRPr="00185EA1">
        <w:rPr>
          <w:rFonts w:ascii="Calibri" w:hAnsi="Calibri" w:cs="Calibri"/>
          <w:i w:val="0"/>
          <w:iCs w:val="0"/>
          <w:szCs w:val="22"/>
        </w:rPr>
        <w:t>ur Site Manager</w:t>
      </w:r>
      <w:r w:rsidR="003D265E">
        <w:rPr>
          <w:rFonts w:ascii="Calibri" w:hAnsi="Calibri" w:cs="Calibri"/>
          <w:i w:val="0"/>
          <w:iCs w:val="0"/>
          <w:szCs w:val="22"/>
        </w:rPr>
        <w:t>,</w:t>
      </w:r>
      <w:r w:rsidR="00185EA1" w:rsidRPr="00185EA1">
        <w:rPr>
          <w:rFonts w:ascii="Calibri" w:hAnsi="Calibri" w:cs="Calibri"/>
          <w:i w:val="0"/>
          <w:iCs w:val="0"/>
          <w:szCs w:val="22"/>
        </w:rPr>
        <w:t xml:space="preserve"> </w:t>
      </w:r>
      <w:r w:rsidR="00906E7E" w:rsidRPr="00185EA1">
        <w:rPr>
          <w:rFonts w:ascii="Calibri" w:hAnsi="Calibri" w:cs="Calibri"/>
          <w:i w:val="0"/>
          <w:iCs w:val="0"/>
          <w:szCs w:val="22"/>
        </w:rPr>
        <w:t xml:space="preserve">Laura </w:t>
      </w:r>
      <w:r w:rsidR="00185EA1" w:rsidRPr="00185EA1">
        <w:rPr>
          <w:rFonts w:ascii="Calibri" w:hAnsi="Calibri" w:cs="Calibri"/>
          <w:i w:val="0"/>
          <w:iCs w:val="0"/>
          <w:szCs w:val="22"/>
        </w:rPr>
        <w:t>Cru</w:t>
      </w:r>
      <w:r w:rsidR="00185EA1">
        <w:rPr>
          <w:rFonts w:ascii="Calibri" w:hAnsi="Calibri" w:cs="Calibri"/>
          <w:i w:val="0"/>
          <w:iCs w:val="0"/>
          <w:szCs w:val="22"/>
        </w:rPr>
        <w:t>z</w:t>
      </w:r>
      <w:r w:rsidR="003D265E">
        <w:rPr>
          <w:rFonts w:ascii="Calibri" w:hAnsi="Calibri" w:cs="Calibri"/>
          <w:i w:val="0"/>
          <w:iCs w:val="0"/>
          <w:szCs w:val="22"/>
        </w:rPr>
        <w:t>,</w:t>
      </w:r>
      <w:r w:rsidR="008F727E">
        <w:rPr>
          <w:rFonts w:ascii="Calibri" w:hAnsi="Calibri" w:cs="Calibri"/>
          <w:i w:val="0"/>
          <w:iCs w:val="0"/>
          <w:szCs w:val="22"/>
        </w:rPr>
        <w:t xml:space="preserve"> </w:t>
      </w:r>
      <w:r w:rsidR="0014422A">
        <w:rPr>
          <w:rFonts w:ascii="Calibri" w:hAnsi="Calibri" w:cs="Calibri"/>
          <w:i w:val="0"/>
          <w:iCs w:val="0"/>
          <w:szCs w:val="22"/>
        </w:rPr>
        <w:t xml:space="preserve">resigned. Her </w:t>
      </w:r>
      <w:r w:rsidR="00185EA1" w:rsidRPr="00185EA1">
        <w:rPr>
          <w:rFonts w:ascii="Calibri" w:hAnsi="Calibri" w:cs="Calibri"/>
          <w:i w:val="0"/>
          <w:iCs w:val="0"/>
          <w:szCs w:val="22"/>
        </w:rPr>
        <w:t xml:space="preserve">role was briefly filled by our Director of Clinical Operations Susana Estrada. Today, this role is filled by </w:t>
      </w:r>
      <w:r w:rsidR="0014422A">
        <w:rPr>
          <w:rFonts w:ascii="Calibri" w:hAnsi="Calibri" w:cs="Calibri"/>
          <w:i w:val="0"/>
          <w:iCs w:val="0"/>
          <w:szCs w:val="22"/>
        </w:rPr>
        <w:t xml:space="preserve">a long-time staff member, </w:t>
      </w:r>
      <w:r w:rsidR="00906E7E" w:rsidRPr="00185EA1">
        <w:rPr>
          <w:rFonts w:ascii="Calibri" w:hAnsi="Calibri" w:cs="Calibri"/>
          <w:i w:val="0"/>
          <w:iCs w:val="0"/>
          <w:szCs w:val="22"/>
        </w:rPr>
        <w:t>Lorena Ramirez</w:t>
      </w:r>
      <w:r w:rsidR="00185EA1" w:rsidRPr="00185EA1">
        <w:rPr>
          <w:rFonts w:ascii="Calibri" w:hAnsi="Calibri" w:cs="Calibri"/>
          <w:i w:val="0"/>
          <w:iCs w:val="0"/>
          <w:szCs w:val="22"/>
        </w:rPr>
        <w:t xml:space="preserve">, who is also the Site Manager for our </w:t>
      </w:r>
      <w:r w:rsidR="00906E7E" w:rsidRPr="00185EA1">
        <w:rPr>
          <w:rFonts w:ascii="Calibri" w:hAnsi="Calibri" w:cs="Calibri"/>
          <w:i w:val="0"/>
          <w:iCs w:val="0"/>
          <w:szCs w:val="22"/>
        </w:rPr>
        <w:t>S</w:t>
      </w:r>
      <w:r w:rsidR="00185EA1" w:rsidRPr="00185EA1">
        <w:rPr>
          <w:rFonts w:ascii="Calibri" w:hAnsi="Calibri" w:cs="Calibri"/>
          <w:i w:val="0"/>
          <w:iCs w:val="0"/>
          <w:szCs w:val="22"/>
        </w:rPr>
        <w:t xml:space="preserve">andy </w:t>
      </w:r>
      <w:r w:rsidR="00906E7E" w:rsidRPr="00185EA1">
        <w:rPr>
          <w:rFonts w:ascii="Calibri" w:hAnsi="Calibri" w:cs="Calibri"/>
          <w:i w:val="0"/>
          <w:iCs w:val="0"/>
          <w:szCs w:val="22"/>
        </w:rPr>
        <w:t>S</w:t>
      </w:r>
      <w:r w:rsidR="00185EA1" w:rsidRPr="00185EA1">
        <w:rPr>
          <w:rFonts w:ascii="Calibri" w:hAnsi="Calibri" w:cs="Calibri"/>
          <w:i w:val="0"/>
          <w:iCs w:val="0"/>
          <w:szCs w:val="22"/>
        </w:rPr>
        <w:t xml:space="preserve">egal </w:t>
      </w:r>
      <w:r w:rsidR="00906E7E" w:rsidRPr="00185EA1">
        <w:rPr>
          <w:rFonts w:ascii="Calibri" w:hAnsi="Calibri" w:cs="Calibri"/>
          <w:i w:val="0"/>
          <w:iCs w:val="0"/>
          <w:szCs w:val="22"/>
        </w:rPr>
        <w:t>Y</w:t>
      </w:r>
      <w:r w:rsidR="00185EA1" w:rsidRPr="00185EA1">
        <w:rPr>
          <w:rFonts w:ascii="Calibri" w:hAnsi="Calibri" w:cs="Calibri"/>
          <w:i w:val="0"/>
          <w:iCs w:val="0"/>
          <w:szCs w:val="22"/>
        </w:rPr>
        <w:t xml:space="preserve">outh </w:t>
      </w:r>
      <w:r w:rsidR="00906E7E" w:rsidRPr="00185EA1">
        <w:rPr>
          <w:rFonts w:ascii="Calibri" w:hAnsi="Calibri" w:cs="Calibri"/>
          <w:i w:val="0"/>
          <w:iCs w:val="0"/>
          <w:szCs w:val="22"/>
        </w:rPr>
        <w:t>H</w:t>
      </w:r>
      <w:r w:rsidR="00185EA1" w:rsidRPr="00185EA1">
        <w:rPr>
          <w:rFonts w:ascii="Calibri" w:hAnsi="Calibri" w:cs="Calibri"/>
          <w:i w:val="0"/>
          <w:iCs w:val="0"/>
          <w:szCs w:val="22"/>
        </w:rPr>
        <w:t xml:space="preserve">ealth </w:t>
      </w:r>
      <w:r w:rsidR="00906E7E" w:rsidRPr="00185EA1">
        <w:rPr>
          <w:rFonts w:ascii="Calibri" w:hAnsi="Calibri" w:cs="Calibri"/>
          <w:i w:val="0"/>
          <w:iCs w:val="0"/>
          <w:szCs w:val="22"/>
        </w:rPr>
        <w:t>C</w:t>
      </w:r>
      <w:r w:rsidR="00185EA1" w:rsidRPr="00185EA1">
        <w:rPr>
          <w:rFonts w:ascii="Calibri" w:hAnsi="Calibri" w:cs="Calibri"/>
          <w:i w:val="0"/>
          <w:iCs w:val="0"/>
          <w:szCs w:val="22"/>
        </w:rPr>
        <w:t>enter clinic.</w:t>
      </w:r>
      <w:r w:rsidR="00185EA1">
        <w:rPr>
          <w:rFonts w:ascii="Calibri" w:hAnsi="Calibri" w:cs="Calibri"/>
          <w:i w:val="0"/>
          <w:iCs w:val="0"/>
          <w:szCs w:val="22"/>
        </w:rPr>
        <w:t xml:space="preserve"> In addition to these changes, the front desk person at </w:t>
      </w:r>
      <w:r w:rsidR="008F727E">
        <w:rPr>
          <w:rFonts w:ascii="Calibri" w:hAnsi="Calibri" w:cs="Calibri"/>
          <w:i w:val="0"/>
          <w:iCs w:val="0"/>
          <w:szCs w:val="22"/>
        </w:rPr>
        <w:t>SAMOHI</w:t>
      </w:r>
      <w:r w:rsidR="00185EA1">
        <w:rPr>
          <w:rFonts w:ascii="Calibri" w:hAnsi="Calibri" w:cs="Calibri"/>
          <w:i w:val="0"/>
          <w:iCs w:val="0"/>
          <w:szCs w:val="22"/>
        </w:rPr>
        <w:t xml:space="preserve"> was let go, and while this role was filled, this new person required training as well. </w:t>
      </w:r>
      <w:r w:rsidR="00185EA1">
        <w:rPr>
          <w:rFonts w:asciiTheme="minorHAnsi" w:hAnsiTheme="minorHAnsi" w:cstheme="minorHAnsi"/>
          <w:i w:val="0"/>
          <w:szCs w:val="22"/>
        </w:rPr>
        <w:t>Lastly, our</w:t>
      </w:r>
      <w:r w:rsidR="00185EA1" w:rsidRPr="007E6E65">
        <w:rPr>
          <w:rFonts w:asciiTheme="minorHAnsi" w:hAnsiTheme="minorHAnsi" w:cstheme="minorHAnsi"/>
          <w:i w:val="0"/>
          <w:szCs w:val="22"/>
        </w:rPr>
        <w:t xml:space="preserve"> outreach person who had been on maternity leave returned in the spring semeste</w:t>
      </w:r>
      <w:r w:rsidR="00185EA1">
        <w:rPr>
          <w:rFonts w:asciiTheme="minorHAnsi" w:hAnsiTheme="minorHAnsi" w:cstheme="minorHAnsi"/>
          <w:i w:val="0"/>
          <w:szCs w:val="22"/>
        </w:rPr>
        <w:t>r</w:t>
      </w:r>
      <w:r w:rsidR="000233F8">
        <w:rPr>
          <w:rFonts w:asciiTheme="minorHAnsi" w:hAnsiTheme="minorHAnsi" w:cstheme="minorHAnsi"/>
          <w:i w:val="0"/>
          <w:szCs w:val="22"/>
        </w:rPr>
        <w:t>, and we ensured she was brought up to speed on</w:t>
      </w:r>
      <w:r w:rsidR="00440C0E">
        <w:rPr>
          <w:rFonts w:asciiTheme="minorHAnsi" w:hAnsiTheme="minorHAnsi" w:cstheme="minorHAnsi"/>
          <w:i w:val="0"/>
          <w:szCs w:val="22"/>
        </w:rPr>
        <w:t xml:space="preserve"> any SAMOHI program changes.</w:t>
      </w:r>
    </w:p>
    <w:p w14:paraId="7AFEE20E" w14:textId="77777777" w:rsidR="00185EA1" w:rsidRDefault="00185EA1"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0F0404FF" w:rsidR="00D04539" w:rsidRDefault="00D04539" w:rsidP="000A20A5">
      <w:pPr>
        <w:pStyle w:val="BodyText"/>
        <w:tabs>
          <w:tab w:val="clear" w:pos="-1080"/>
          <w:tab w:val="clear" w:pos="1980"/>
          <w:tab w:val="clear" w:pos="2520"/>
          <w:tab w:val="left" w:pos="-1440"/>
          <w:tab w:val="left" w:pos="1710"/>
          <w:tab w:val="left" w:pos="2880"/>
        </w:tabs>
        <w:rPr>
          <w:i w:val="0"/>
          <w:sz w:val="21"/>
        </w:rPr>
      </w:pPr>
      <w:r w:rsidRPr="00D60405">
        <w:rPr>
          <w:rFonts w:hint="eastAsia"/>
          <w:i w:val="0"/>
          <w:sz w:val="21"/>
        </w:rPr>
        <w:t xml:space="preserve">Please indicate how volunteers or </w:t>
      </w:r>
      <w:r w:rsidRPr="00D60405">
        <w:rPr>
          <w:i w:val="0"/>
          <w:sz w:val="21"/>
        </w:rPr>
        <w:t xml:space="preserve">paid or unpaid </w:t>
      </w:r>
      <w:r w:rsidRPr="00D60405">
        <w:rPr>
          <w:rFonts w:hint="eastAsia"/>
          <w:i w:val="0"/>
          <w:sz w:val="21"/>
        </w:rPr>
        <w:t>interns were used during the reporting period.</w:t>
      </w:r>
      <w:r w:rsidR="000419E5">
        <w:rPr>
          <w:rFonts w:hint="eastAsia"/>
          <w:i w:val="0"/>
          <w:sz w:val="21"/>
        </w:rPr>
        <w:t xml:space="preserve"> </w:t>
      </w:r>
      <w:r w:rsidRPr="00D60405">
        <w:rPr>
          <w:rFonts w:hint="eastAsia"/>
          <w:i w:val="0"/>
          <w:sz w:val="21"/>
        </w:rPr>
        <w:t>Provide the total number of volunteers or interns and hours provi</w:t>
      </w:r>
      <w:r w:rsidR="009A01AA" w:rsidRPr="00D60405">
        <w:rPr>
          <w:rFonts w:hint="eastAsia"/>
          <w:i w:val="0"/>
          <w:sz w:val="21"/>
        </w:rPr>
        <w:t>ded.</w:t>
      </w:r>
      <w:r w:rsidRPr="00D60405">
        <w:rPr>
          <w:rFonts w:hint="eastAsia"/>
          <w:i w:val="0"/>
          <w:sz w:val="21"/>
        </w:rPr>
        <w:t xml:space="preserve"> If interns were used, please indicate </w:t>
      </w:r>
      <w:r w:rsidRPr="00D60405">
        <w:rPr>
          <w:i w:val="0"/>
          <w:sz w:val="21"/>
        </w:rPr>
        <w:t>their</w:t>
      </w:r>
      <w:r w:rsidRPr="00D60405">
        <w:rPr>
          <w:rFonts w:hint="eastAsia"/>
          <w:i w:val="0"/>
          <w:sz w:val="21"/>
        </w:rPr>
        <w:t xml:space="preserve"> </w:t>
      </w:r>
      <w:r w:rsidRPr="00D60405">
        <w:rPr>
          <w:i w:val="0"/>
          <w:sz w:val="21"/>
        </w:rPr>
        <w:t>program level (e.g. undergraduate, masters).</w:t>
      </w:r>
    </w:p>
    <w:p w14:paraId="67716B32" w14:textId="0626ABA0" w:rsidR="00D60405" w:rsidRDefault="00D60405" w:rsidP="000A20A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sz w:val="22"/>
          <w:szCs w:val="22"/>
        </w:rPr>
      </w:pPr>
    </w:p>
    <w:p w14:paraId="22A7B607" w14:textId="677F0247" w:rsidR="00EA1BAE" w:rsidRPr="00906E7E" w:rsidRDefault="00D60405" w:rsidP="000A20A5">
      <w:pPr>
        <w:pStyle w:val="BodyText"/>
        <w:tabs>
          <w:tab w:val="clear" w:pos="-1080"/>
          <w:tab w:val="clear" w:pos="1980"/>
          <w:tab w:val="clear" w:pos="2520"/>
          <w:tab w:val="left" w:pos="-1440"/>
          <w:tab w:val="left" w:pos="1710"/>
          <w:tab w:val="left" w:pos="2880"/>
        </w:tabs>
        <w:rPr>
          <w:rFonts w:ascii="Calibri" w:hAnsi="Calibri" w:cs="Calibri"/>
          <w:i w:val="0"/>
          <w:iCs w:val="0"/>
          <w:szCs w:val="22"/>
        </w:rPr>
      </w:pPr>
      <w:r w:rsidRPr="007A41F9">
        <w:rPr>
          <w:rFonts w:ascii="Calibri" w:hAnsi="Calibri" w:cs="Calibri"/>
          <w:i w:val="0"/>
          <w:iCs w:val="0"/>
          <w:szCs w:val="22"/>
        </w:rPr>
        <w:t>No residents or volunteers participated in providing care during the reporting period.</w:t>
      </w:r>
    </w:p>
    <w:p w14:paraId="0C6D73EE" w14:textId="77777777" w:rsidR="00D16B4C" w:rsidRPr="00D60405" w:rsidRDefault="00D16B4C"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sz w:val="22"/>
          <w:szCs w:val="22"/>
        </w:rPr>
      </w:pPr>
    </w:p>
    <w:p w14:paraId="77BA1E20" w14:textId="4B5163C6" w:rsidR="00D04539" w:rsidRDefault="00D04539"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202CC6">
        <w:rPr>
          <w:rFonts w:ascii="Arial" w:hAnsi="Arial" w:hint="eastAsia"/>
          <w:b/>
          <w:sz w:val="21"/>
          <w:u w:val="single"/>
        </w:rPr>
        <w:t>SECTION V</w:t>
      </w:r>
      <w:r w:rsidRPr="00202CC6">
        <w:rPr>
          <w:rFonts w:ascii="Arial" w:hAnsi="Arial"/>
          <w:b/>
          <w:sz w:val="21"/>
          <w:u w:val="single"/>
        </w:rPr>
        <w:t>:</w:t>
      </w:r>
      <w:r w:rsidRPr="00202CC6">
        <w:rPr>
          <w:rFonts w:ascii="Arial" w:hAnsi="Arial" w:hint="eastAsia"/>
          <w:b/>
          <w:sz w:val="21"/>
          <w:u w:val="single"/>
        </w:rPr>
        <w:t xml:space="preserve"> SPECIAL FUNDING CONDITIONS</w:t>
      </w:r>
    </w:p>
    <w:p w14:paraId="3A22A71D" w14:textId="77777777" w:rsidR="00D04539" w:rsidRDefault="00D04539"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EA139" w14:textId="689BA2C0" w:rsidR="00D16B4C" w:rsidRPr="002422C1" w:rsidRDefault="00D16B4C" w:rsidP="000A20A5">
      <w:pPr>
        <w:widowControl/>
        <w:jc w:val="both"/>
        <w:rPr>
          <w:rFonts w:asciiTheme="minorHAnsi" w:eastAsia="Times New Roman" w:hAnsiTheme="minorHAnsi" w:cstheme="minorHAnsi"/>
          <w:b/>
          <w:sz w:val="22"/>
          <w:szCs w:val="22"/>
        </w:rPr>
      </w:pPr>
      <w:r w:rsidRPr="002422C1">
        <w:rPr>
          <w:rFonts w:asciiTheme="minorHAnsi" w:eastAsia="Times New Roman" w:hAnsiTheme="minorHAnsi" w:cstheme="minorHAnsi"/>
          <w:b/>
          <w:sz w:val="22"/>
          <w:szCs w:val="22"/>
        </w:rPr>
        <w:t>1) Participate in the City’s efforts to track human services program</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demographics and outcomes. Participation may include, but is not limited to:</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meeting with City staff, consultants, and; providing information regarding</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current data systems, technology infrastructure, policies and procedures,</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needs, opportunities, and concerns; incorporating the City into existing</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consent for release of information forms; signing and adhering to a City data</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management agreement; and contributing data to a centralized data</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management system. Aggregated or de-identified information may be</w:t>
      </w:r>
      <w:r w:rsidR="002422C1" w:rsidRPr="002422C1">
        <w:rPr>
          <w:rFonts w:asciiTheme="minorHAnsi" w:eastAsia="Times New Roman" w:hAnsiTheme="minorHAnsi" w:cstheme="minorHAnsi"/>
          <w:b/>
          <w:sz w:val="22"/>
          <w:szCs w:val="22"/>
        </w:rPr>
        <w:t xml:space="preserve"> </w:t>
      </w:r>
      <w:r w:rsidRPr="002422C1">
        <w:rPr>
          <w:rFonts w:asciiTheme="minorHAnsi" w:eastAsia="Times New Roman" w:hAnsiTheme="minorHAnsi" w:cstheme="minorHAnsi"/>
          <w:b/>
          <w:sz w:val="22"/>
          <w:szCs w:val="22"/>
        </w:rPr>
        <w:t>requested for the purposes of analyzing data being collected.</w:t>
      </w:r>
    </w:p>
    <w:p w14:paraId="35BF7E89" w14:textId="05F48F38" w:rsidR="002422C1" w:rsidRDefault="002422C1" w:rsidP="000A20A5">
      <w:pPr>
        <w:widowControl/>
        <w:jc w:val="both"/>
        <w:rPr>
          <w:rFonts w:asciiTheme="minorHAnsi" w:eastAsia="Times New Roman" w:hAnsiTheme="minorHAnsi" w:cstheme="minorHAnsi"/>
          <w:sz w:val="22"/>
          <w:szCs w:val="22"/>
        </w:rPr>
      </w:pPr>
    </w:p>
    <w:p w14:paraId="122704AE" w14:textId="49827656" w:rsidR="002422C1" w:rsidRPr="002422C1" w:rsidRDefault="00BB0253" w:rsidP="000A20A5">
      <w:pPr>
        <w:widowControl/>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Venice Family Clinic is open for further discussion on this topic, but we have done nothing </w:t>
      </w:r>
      <w:r w:rsidR="00D60405">
        <w:rPr>
          <w:rFonts w:asciiTheme="minorHAnsi" w:eastAsia="Times New Roman" w:hAnsiTheme="minorHAnsi" w:cstheme="minorHAnsi"/>
          <w:sz w:val="22"/>
          <w:szCs w:val="22"/>
        </w:rPr>
        <w:t>more</w:t>
      </w:r>
      <w:r>
        <w:rPr>
          <w:rFonts w:asciiTheme="minorHAnsi" w:eastAsia="Times New Roman" w:hAnsiTheme="minorHAnsi" w:cstheme="minorHAnsi"/>
          <w:sz w:val="22"/>
          <w:szCs w:val="22"/>
        </w:rPr>
        <w:t xml:space="preserve"> in this reporting period than collect the same data and follow the same processes we have throughout the entire grant term. We did not receive this specific funding condition until the contract was fully executed in January 2023. Please let us know if any adjustments are needed to our typical data tracking approaches.</w:t>
      </w:r>
    </w:p>
    <w:p w14:paraId="3E6CA77A" w14:textId="77777777" w:rsidR="002422C1" w:rsidRPr="002422C1" w:rsidRDefault="002422C1" w:rsidP="000A20A5">
      <w:pPr>
        <w:widowControl/>
        <w:jc w:val="both"/>
        <w:rPr>
          <w:rFonts w:asciiTheme="minorHAnsi" w:eastAsia="Times New Roman" w:hAnsiTheme="minorHAnsi" w:cstheme="minorHAnsi"/>
          <w:sz w:val="22"/>
          <w:szCs w:val="22"/>
        </w:rPr>
      </w:pPr>
    </w:p>
    <w:p w14:paraId="3D947A52" w14:textId="49AA9661" w:rsidR="00D16B4C" w:rsidRDefault="00D16B4C" w:rsidP="000A20A5">
      <w:pPr>
        <w:widowControl/>
        <w:jc w:val="both"/>
        <w:rPr>
          <w:rFonts w:asciiTheme="minorHAnsi" w:eastAsia="Times New Roman" w:hAnsiTheme="minorHAnsi" w:cstheme="minorHAnsi"/>
          <w:b/>
          <w:sz w:val="22"/>
          <w:szCs w:val="22"/>
        </w:rPr>
      </w:pPr>
      <w:r w:rsidRPr="00693CE0">
        <w:rPr>
          <w:rFonts w:asciiTheme="minorHAnsi" w:eastAsia="Times New Roman" w:hAnsiTheme="minorHAnsi" w:cstheme="minorHAnsi"/>
          <w:b/>
          <w:sz w:val="22"/>
          <w:szCs w:val="22"/>
        </w:rPr>
        <w:t>2) Detail steps taken to provide services in response to needs emerging from</w:t>
      </w:r>
      <w:r w:rsidR="00BB0253" w:rsidRPr="00693CE0">
        <w:rPr>
          <w:rFonts w:asciiTheme="minorHAnsi" w:eastAsia="Times New Roman" w:hAnsiTheme="minorHAnsi" w:cstheme="minorHAnsi"/>
          <w:b/>
          <w:sz w:val="22"/>
          <w:szCs w:val="22"/>
        </w:rPr>
        <w:t xml:space="preserve"> </w:t>
      </w:r>
      <w:r w:rsidRPr="00693CE0">
        <w:rPr>
          <w:rFonts w:asciiTheme="minorHAnsi" w:eastAsia="Times New Roman" w:hAnsiTheme="minorHAnsi" w:cstheme="minorHAnsi"/>
          <w:b/>
          <w:sz w:val="22"/>
          <w:szCs w:val="22"/>
        </w:rPr>
        <w:t>the COVID-19 pandemic, including the safe reopening of facilities and any</w:t>
      </w:r>
      <w:r w:rsidR="00BB0253" w:rsidRPr="00693CE0">
        <w:rPr>
          <w:rFonts w:asciiTheme="minorHAnsi" w:eastAsia="Times New Roman" w:hAnsiTheme="minorHAnsi" w:cstheme="minorHAnsi"/>
          <w:b/>
          <w:sz w:val="22"/>
          <w:szCs w:val="22"/>
        </w:rPr>
        <w:t xml:space="preserve"> </w:t>
      </w:r>
      <w:r w:rsidRPr="00693CE0">
        <w:rPr>
          <w:rFonts w:asciiTheme="minorHAnsi" w:eastAsia="Times New Roman" w:hAnsiTheme="minorHAnsi" w:cstheme="minorHAnsi"/>
          <w:b/>
          <w:sz w:val="22"/>
          <w:szCs w:val="22"/>
        </w:rPr>
        <w:t>modifications to service delivery and program facilities to ensure compliance</w:t>
      </w:r>
      <w:r w:rsidR="00BB0253" w:rsidRPr="00693CE0">
        <w:rPr>
          <w:rFonts w:asciiTheme="minorHAnsi" w:eastAsia="Times New Roman" w:hAnsiTheme="minorHAnsi" w:cstheme="minorHAnsi"/>
          <w:b/>
          <w:sz w:val="22"/>
          <w:szCs w:val="22"/>
        </w:rPr>
        <w:t xml:space="preserve"> </w:t>
      </w:r>
      <w:r w:rsidRPr="00693CE0">
        <w:rPr>
          <w:rFonts w:asciiTheme="minorHAnsi" w:eastAsia="Times New Roman" w:hAnsiTheme="minorHAnsi" w:cstheme="minorHAnsi"/>
          <w:b/>
          <w:sz w:val="22"/>
          <w:szCs w:val="22"/>
        </w:rPr>
        <w:t>with current public health guidance.</w:t>
      </w:r>
    </w:p>
    <w:p w14:paraId="3057E9FF" w14:textId="5CF11AFD" w:rsidR="00BB0253" w:rsidRDefault="00BB0253" w:rsidP="000A20A5">
      <w:pPr>
        <w:widowControl/>
        <w:jc w:val="both"/>
        <w:rPr>
          <w:rFonts w:asciiTheme="minorHAnsi" w:eastAsia="Times New Roman" w:hAnsiTheme="minorHAnsi" w:cstheme="minorHAnsi"/>
          <w:b/>
          <w:sz w:val="22"/>
          <w:szCs w:val="22"/>
        </w:rPr>
      </w:pPr>
    </w:p>
    <w:p w14:paraId="28A54DBA" w14:textId="5C28E2C0" w:rsidR="00BB0253" w:rsidRDefault="00BB0253" w:rsidP="000A20A5">
      <w:pPr>
        <w:widowControl/>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Venice Family Clinic’s clinic at Santa Monica High School</w:t>
      </w:r>
      <w:r w:rsidR="0033358C">
        <w:rPr>
          <w:rFonts w:asciiTheme="minorHAnsi" w:eastAsia="Times New Roman" w:hAnsiTheme="minorHAnsi" w:cstheme="minorHAnsi"/>
          <w:sz w:val="22"/>
          <w:szCs w:val="22"/>
        </w:rPr>
        <w:t xml:space="preserve"> has been open since the school itself</w:t>
      </w:r>
      <w:r>
        <w:rPr>
          <w:rFonts w:asciiTheme="minorHAnsi" w:eastAsia="Times New Roman" w:hAnsiTheme="minorHAnsi" w:cstheme="minorHAnsi"/>
          <w:sz w:val="22"/>
          <w:szCs w:val="22"/>
        </w:rPr>
        <w:t xml:space="preserve"> reopened for the 21-22 school year. Services are also provided to students at other Venice Family Clinic sites and through virtual visits, if that is the patient’s preference. Our safety measures have not changed and include temperature checks, a separate are</w:t>
      </w:r>
      <w:r w:rsidR="00113620">
        <w:rPr>
          <w:rFonts w:asciiTheme="minorHAnsi" w:eastAsia="Times New Roman" w:hAnsiTheme="minorHAnsi" w:cstheme="minorHAnsi"/>
          <w:sz w:val="22"/>
          <w:szCs w:val="22"/>
        </w:rPr>
        <w:t>a</w:t>
      </w:r>
      <w:r>
        <w:rPr>
          <w:rFonts w:asciiTheme="minorHAnsi" w:eastAsia="Times New Roman" w:hAnsiTheme="minorHAnsi" w:cstheme="minorHAnsi"/>
          <w:sz w:val="22"/>
          <w:szCs w:val="22"/>
        </w:rPr>
        <w:t xml:space="preserve"> for students with COVID-19 symptoms, frequent cleaning, required masking, and regular hand sanitizing. </w:t>
      </w:r>
    </w:p>
    <w:p w14:paraId="2CF732B8" w14:textId="77777777" w:rsidR="00BB0253" w:rsidRPr="002422C1" w:rsidRDefault="00BB0253" w:rsidP="000A20A5">
      <w:pPr>
        <w:widowControl/>
        <w:jc w:val="both"/>
        <w:rPr>
          <w:rFonts w:asciiTheme="minorHAnsi" w:eastAsia="Times New Roman" w:hAnsiTheme="minorHAnsi" w:cstheme="minorHAnsi"/>
          <w:sz w:val="22"/>
          <w:szCs w:val="22"/>
        </w:rPr>
      </w:pPr>
    </w:p>
    <w:p w14:paraId="503289F6" w14:textId="6F7AD5A9" w:rsidR="009A01AA" w:rsidRDefault="00D16B4C" w:rsidP="000A20A5">
      <w:pPr>
        <w:widowControl/>
        <w:jc w:val="both"/>
        <w:rPr>
          <w:rFonts w:asciiTheme="minorHAnsi" w:eastAsia="Times New Roman" w:hAnsiTheme="minorHAnsi" w:cstheme="minorHAnsi"/>
          <w:b/>
          <w:sz w:val="22"/>
          <w:szCs w:val="22"/>
        </w:rPr>
      </w:pPr>
      <w:r w:rsidRPr="00BB0253">
        <w:rPr>
          <w:rFonts w:asciiTheme="minorHAnsi" w:eastAsia="Times New Roman" w:hAnsiTheme="minorHAnsi" w:cstheme="minorHAnsi"/>
          <w:b/>
          <w:sz w:val="22"/>
          <w:szCs w:val="22"/>
        </w:rPr>
        <w:t>3) Agency will assist eligible participants in submitting applications to applicable</w:t>
      </w:r>
      <w:r w:rsidR="00BB0253" w:rsidRPr="00BB0253">
        <w:rPr>
          <w:rFonts w:asciiTheme="minorHAnsi" w:eastAsia="Times New Roman" w:hAnsiTheme="minorHAnsi" w:cstheme="minorHAnsi"/>
          <w:b/>
          <w:sz w:val="22"/>
          <w:szCs w:val="22"/>
        </w:rPr>
        <w:t xml:space="preserve"> </w:t>
      </w:r>
      <w:r w:rsidRPr="00BB0253">
        <w:rPr>
          <w:rFonts w:asciiTheme="minorHAnsi" w:eastAsia="Times New Roman" w:hAnsiTheme="minorHAnsi" w:cstheme="minorHAnsi"/>
          <w:b/>
          <w:sz w:val="22"/>
          <w:szCs w:val="22"/>
        </w:rPr>
        <w:t>relief and housing sustainability programs, including local, state, and federal</w:t>
      </w:r>
      <w:r w:rsidR="00BB0253" w:rsidRPr="00BB0253">
        <w:rPr>
          <w:rFonts w:asciiTheme="minorHAnsi" w:eastAsia="Times New Roman" w:hAnsiTheme="minorHAnsi" w:cstheme="minorHAnsi"/>
          <w:b/>
          <w:sz w:val="22"/>
          <w:szCs w:val="22"/>
        </w:rPr>
        <w:t xml:space="preserve"> </w:t>
      </w:r>
      <w:r w:rsidRPr="00BB0253">
        <w:rPr>
          <w:rFonts w:asciiTheme="minorHAnsi" w:eastAsia="Times New Roman" w:hAnsiTheme="minorHAnsi" w:cstheme="minorHAnsi"/>
          <w:b/>
          <w:sz w:val="22"/>
          <w:szCs w:val="22"/>
        </w:rPr>
        <w:t>rental assistance programs, including but not limited to: Housing Choice</w:t>
      </w:r>
      <w:r w:rsidR="00BB0253" w:rsidRPr="00BB0253">
        <w:rPr>
          <w:rFonts w:asciiTheme="minorHAnsi" w:eastAsia="Times New Roman" w:hAnsiTheme="minorHAnsi" w:cstheme="minorHAnsi"/>
          <w:b/>
          <w:sz w:val="22"/>
          <w:szCs w:val="22"/>
        </w:rPr>
        <w:t xml:space="preserve"> </w:t>
      </w:r>
      <w:r w:rsidRPr="00BB0253">
        <w:rPr>
          <w:rFonts w:asciiTheme="minorHAnsi" w:eastAsia="Times New Roman" w:hAnsiTheme="minorHAnsi" w:cstheme="minorHAnsi"/>
          <w:b/>
          <w:sz w:val="22"/>
          <w:szCs w:val="22"/>
        </w:rPr>
        <w:t>Voucher (HCV) and Below Market Housing (BMH) Waitlists, Preserving Our</w:t>
      </w:r>
      <w:r w:rsidR="00BB0253" w:rsidRPr="00BB0253">
        <w:rPr>
          <w:rFonts w:asciiTheme="minorHAnsi" w:eastAsia="Times New Roman" w:hAnsiTheme="minorHAnsi" w:cstheme="minorHAnsi"/>
          <w:b/>
          <w:sz w:val="22"/>
          <w:szCs w:val="22"/>
        </w:rPr>
        <w:t xml:space="preserve"> </w:t>
      </w:r>
      <w:r w:rsidRPr="00BB0253">
        <w:rPr>
          <w:rFonts w:asciiTheme="minorHAnsi" w:eastAsia="Times New Roman" w:hAnsiTheme="minorHAnsi" w:cstheme="minorHAnsi"/>
          <w:b/>
          <w:sz w:val="22"/>
          <w:szCs w:val="22"/>
        </w:rPr>
        <w:t>Diversity (POD), Continuum of Care (CoC), and HOME voucher programs.</w:t>
      </w:r>
    </w:p>
    <w:p w14:paraId="5663A9BB" w14:textId="6CB9D52D" w:rsidR="00BB0253" w:rsidRPr="0033358C" w:rsidRDefault="00BB0253" w:rsidP="000A20A5">
      <w:pPr>
        <w:widowControl/>
        <w:jc w:val="both"/>
        <w:rPr>
          <w:rFonts w:asciiTheme="minorHAnsi" w:eastAsia="Times New Roman" w:hAnsiTheme="minorHAnsi" w:cstheme="minorHAnsi"/>
          <w:sz w:val="22"/>
          <w:szCs w:val="22"/>
        </w:rPr>
      </w:pPr>
    </w:p>
    <w:p w14:paraId="3033FEE2" w14:textId="1C43978A" w:rsidR="00BB0253" w:rsidRPr="00474E58" w:rsidRDefault="00474E58" w:rsidP="000A20A5">
      <w:pPr>
        <w:widowControl/>
        <w:jc w:val="both"/>
        <w:rPr>
          <w:rFonts w:asciiTheme="minorHAnsi" w:eastAsia="Times New Roman" w:hAnsiTheme="minorHAnsi" w:cstheme="minorHAnsi"/>
          <w:sz w:val="22"/>
          <w:szCs w:val="22"/>
        </w:rPr>
      </w:pPr>
      <w:r w:rsidRPr="00474E58">
        <w:rPr>
          <w:rFonts w:asciiTheme="minorHAnsi" w:eastAsia="Times New Roman" w:hAnsiTheme="minorHAnsi" w:cstheme="minorHAnsi"/>
          <w:sz w:val="22"/>
          <w:szCs w:val="22"/>
        </w:rPr>
        <w:t>Venice Family Clinic’s Resource Case Managers are the designated person who would support participants in submitting these applications, and referrals are made as appropriate.</w:t>
      </w:r>
    </w:p>
    <w:p w14:paraId="6E6E7A3B" w14:textId="77777777" w:rsidR="00BB0253" w:rsidRPr="002422C1" w:rsidRDefault="00BB0253" w:rsidP="000A20A5">
      <w:pPr>
        <w:widowControl/>
        <w:jc w:val="both"/>
        <w:rPr>
          <w:rFonts w:asciiTheme="minorHAnsi" w:eastAsia="Times New Roman" w:hAnsiTheme="minorHAnsi" w:cstheme="minorHAnsi"/>
          <w:sz w:val="22"/>
          <w:szCs w:val="22"/>
        </w:rPr>
      </w:pPr>
    </w:p>
    <w:p w14:paraId="7C3E961A" w14:textId="77777777" w:rsidR="00D16B4C" w:rsidRPr="002422C1" w:rsidRDefault="00D16B4C" w:rsidP="000A20A5">
      <w:pPr>
        <w:widowControl/>
        <w:jc w:val="both"/>
        <w:rPr>
          <w:rFonts w:asciiTheme="minorHAnsi" w:eastAsia="Times New Roman" w:hAnsiTheme="minorHAnsi" w:cstheme="minorHAnsi"/>
          <w:b/>
          <w:bCs/>
          <w:sz w:val="22"/>
          <w:szCs w:val="22"/>
        </w:rPr>
      </w:pPr>
      <w:r w:rsidRPr="002422C1">
        <w:rPr>
          <w:rFonts w:asciiTheme="minorHAnsi" w:eastAsia="Times New Roman" w:hAnsiTheme="minorHAnsi" w:cstheme="minorHAnsi"/>
          <w:b/>
          <w:bCs/>
          <w:sz w:val="22"/>
          <w:szCs w:val="22"/>
        </w:rPr>
        <w:t>Youth &amp; Families Agencies:</w:t>
      </w:r>
    </w:p>
    <w:p w14:paraId="3D0DDFCD" w14:textId="03977D37" w:rsidR="00D16B4C" w:rsidRPr="0033358C" w:rsidRDefault="00D16B4C" w:rsidP="000A20A5">
      <w:pPr>
        <w:widowControl/>
        <w:jc w:val="both"/>
        <w:rPr>
          <w:rFonts w:asciiTheme="minorHAnsi" w:eastAsia="Times New Roman" w:hAnsiTheme="minorHAnsi" w:cstheme="minorHAnsi"/>
          <w:b/>
          <w:sz w:val="22"/>
          <w:szCs w:val="22"/>
        </w:rPr>
      </w:pPr>
      <w:r w:rsidRPr="0033358C">
        <w:rPr>
          <w:rFonts w:asciiTheme="minorHAnsi" w:eastAsia="Times New Roman" w:hAnsiTheme="minorHAnsi" w:cstheme="minorHAnsi"/>
          <w:b/>
          <w:sz w:val="22"/>
          <w:szCs w:val="22"/>
        </w:rPr>
        <w:lastRenderedPageBreak/>
        <w:t>1) Actively participate in appropriate Santa Monica Cradle to Career (smC2C)</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collective impact meetings and initiatives, which may include but are not</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limited to: smC2C work groups, Child and Youth Resource Teams (CYRT),</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Early Childhood Task Force, and Education Collaborative.</w:t>
      </w:r>
    </w:p>
    <w:p w14:paraId="65AB6A44" w14:textId="0F3C3A59" w:rsidR="00474E58" w:rsidRPr="0033358C" w:rsidRDefault="00474E58" w:rsidP="000A20A5">
      <w:pPr>
        <w:widowControl/>
        <w:jc w:val="both"/>
        <w:rPr>
          <w:rFonts w:asciiTheme="minorHAnsi" w:eastAsia="Times New Roman" w:hAnsiTheme="minorHAnsi" w:cstheme="minorHAnsi"/>
          <w:sz w:val="22"/>
          <w:szCs w:val="22"/>
        </w:rPr>
      </w:pPr>
    </w:p>
    <w:p w14:paraId="14972E05" w14:textId="4300F732" w:rsidR="00474E58" w:rsidRPr="00113620" w:rsidRDefault="00474E58" w:rsidP="000A20A5">
      <w:pPr>
        <w:jc w:val="both"/>
        <w:rPr>
          <w:rFonts w:asciiTheme="minorHAnsi" w:eastAsia="Calibri" w:hAnsiTheme="minorHAnsi" w:cstheme="minorHAnsi"/>
          <w:sz w:val="22"/>
          <w:szCs w:val="22"/>
        </w:rPr>
      </w:pPr>
      <w:r w:rsidRPr="00113620">
        <w:rPr>
          <w:rFonts w:asciiTheme="minorHAnsi" w:eastAsia="Calibri" w:hAnsiTheme="minorHAnsi" w:cstheme="minorHAnsi"/>
          <w:sz w:val="22"/>
          <w:szCs w:val="22"/>
        </w:rPr>
        <w:t xml:space="preserve">Venice Family Clinic </w:t>
      </w:r>
      <w:r w:rsidR="0033358C" w:rsidRPr="00113620">
        <w:rPr>
          <w:rFonts w:asciiTheme="minorHAnsi" w:eastAsia="Calibri" w:hAnsiTheme="minorHAnsi" w:cstheme="minorHAnsi"/>
          <w:sz w:val="22"/>
          <w:szCs w:val="22"/>
        </w:rPr>
        <w:t xml:space="preserve">and Illuminating SOL Therapy participate in the appropriate Santa Monica Cradle to Career meetings. </w:t>
      </w:r>
    </w:p>
    <w:p w14:paraId="17181734" w14:textId="77777777" w:rsidR="0033358C" w:rsidRPr="0033358C" w:rsidRDefault="0033358C" w:rsidP="000A20A5">
      <w:pPr>
        <w:jc w:val="both"/>
        <w:rPr>
          <w:rFonts w:asciiTheme="minorHAnsi" w:eastAsia="Times New Roman" w:hAnsiTheme="minorHAnsi" w:cstheme="minorHAnsi"/>
          <w:sz w:val="22"/>
          <w:szCs w:val="22"/>
        </w:rPr>
      </w:pPr>
    </w:p>
    <w:p w14:paraId="26A5853B" w14:textId="6861AB16" w:rsidR="00D16B4C" w:rsidRPr="0033358C" w:rsidRDefault="00D16B4C" w:rsidP="000A20A5">
      <w:pPr>
        <w:widowControl/>
        <w:jc w:val="both"/>
        <w:rPr>
          <w:rFonts w:asciiTheme="minorHAnsi" w:eastAsia="Times New Roman" w:hAnsiTheme="minorHAnsi" w:cstheme="minorHAnsi"/>
          <w:b/>
          <w:sz w:val="22"/>
          <w:szCs w:val="22"/>
        </w:rPr>
      </w:pPr>
      <w:r w:rsidRPr="0033358C">
        <w:rPr>
          <w:rFonts w:asciiTheme="minorHAnsi" w:eastAsia="Times New Roman" w:hAnsiTheme="minorHAnsi" w:cstheme="minorHAnsi"/>
          <w:b/>
          <w:sz w:val="22"/>
          <w:szCs w:val="22"/>
        </w:rPr>
        <w:t>2) Work with the City and the youth and families network of care to provide</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coordinated support to individuals and families that might require agency</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expertise in the aftermath of a serious community crisis. A community crisis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may include a traumatic event or emergency condition that creates distress,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hardship, fear or grief and has a specia</w:t>
      </w:r>
      <w:r w:rsidR="00474E58" w:rsidRPr="0033358C">
        <w:rPr>
          <w:rFonts w:asciiTheme="minorHAnsi" w:eastAsia="Times New Roman" w:hAnsiTheme="minorHAnsi" w:cstheme="minorHAnsi"/>
          <w:b/>
          <w:sz w:val="22"/>
          <w:szCs w:val="22"/>
        </w:rPr>
        <w:t>l significance to the community.</w:t>
      </w:r>
    </w:p>
    <w:p w14:paraId="33956C19" w14:textId="2C757549" w:rsidR="00474E58" w:rsidRPr="0033358C" w:rsidRDefault="00474E58" w:rsidP="000A20A5">
      <w:pPr>
        <w:widowControl/>
        <w:jc w:val="both"/>
        <w:rPr>
          <w:rFonts w:asciiTheme="minorHAnsi" w:eastAsia="Times New Roman" w:hAnsiTheme="minorHAnsi" w:cstheme="minorHAnsi"/>
          <w:sz w:val="22"/>
          <w:szCs w:val="22"/>
        </w:rPr>
      </w:pPr>
    </w:p>
    <w:p w14:paraId="1A923CE9" w14:textId="6041FFFE" w:rsidR="00474E58" w:rsidRPr="00113620" w:rsidRDefault="00474E58" w:rsidP="000A20A5">
      <w:pPr>
        <w:widowControl/>
        <w:jc w:val="both"/>
        <w:rPr>
          <w:rFonts w:asciiTheme="minorHAnsi" w:eastAsia="Calibri" w:hAnsiTheme="minorHAnsi" w:cstheme="minorHAnsi"/>
          <w:sz w:val="22"/>
          <w:szCs w:val="21"/>
        </w:rPr>
      </w:pPr>
      <w:r w:rsidRPr="00113620">
        <w:rPr>
          <w:rFonts w:asciiTheme="minorHAnsi" w:eastAsia="Calibri" w:hAnsiTheme="minorHAnsi" w:cstheme="minorHAnsi"/>
          <w:sz w:val="22"/>
          <w:szCs w:val="21"/>
        </w:rPr>
        <w:t xml:space="preserve">Venice Family Clinic </w:t>
      </w:r>
      <w:r w:rsidR="0033358C" w:rsidRPr="00113620">
        <w:rPr>
          <w:rFonts w:asciiTheme="minorHAnsi" w:eastAsia="Calibri" w:hAnsiTheme="minorHAnsi" w:cstheme="minorHAnsi"/>
          <w:sz w:val="22"/>
          <w:szCs w:val="21"/>
        </w:rPr>
        <w:t xml:space="preserve">has always played a role in coordinating support to individuals and families during serious community crises and would do so in any future event. </w:t>
      </w:r>
    </w:p>
    <w:p w14:paraId="6479CDFB" w14:textId="77777777" w:rsidR="00474E58" w:rsidRPr="0033358C" w:rsidRDefault="00474E58" w:rsidP="000A20A5">
      <w:pPr>
        <w:widowControl/>
        <w:jc w:val="both"/>
        <w:rPr>
          <w:rFonts w:asciiTheme="minorHAnsi" w:eastAsia="Times New Roman" w:hAnsiTheme="minorHAnsi" w:cstheme="minorHAnsi"/>
          <w:b/>
          <w:sz w:val="22"/>
          <w:szCs w:val="22"/>
        </w:rPr>
      </w:pPr>
    </w:p>
    <w:p w14:paraId="41763185" w14:textId="111CAFC5" w:rsidR="00D16B4C" w:rsidRDefault="00D16B4C" w:rsidP="000A20A5">
      <w:pPr>
        <w:widowControl/>
        <w:jc w:val="both"/>
        <w:rPr>
          <w:rFonts w:asciiTheme="minorHAnsi" w:eastAsia="Times New Roman" w:hAnsiTheme="minorHAnsi" w:cstheme="minorHAnsi"/>
          <w:b/>
          <w:sz w:val="22"/>
          <w:szCs w:val="22"/>
        </w:rPr>
      </w:pPr>
      <w:r w:rsidRPr="0033358C">
        <w:rPr>
          <w:rFonts w:asciiTheme="minorHAnsi" w:eastAsia="Times New Roman" w:hAnsiTheme="minorHAnsi" w:cstheme="minorHAnsi"/>
          <w:b/>
          <w:sz w:val="22"/>
          <w:szCs w:val="22"/>
        </w:rPr>
        <w:t>3) Grantee acknowledges the City’s commitment to abuse prevention, as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specified in the City’s Administrative Instruction, and hereby certifies that</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Grantee will similarly maintain this commitment and in furtherance of this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commitment will ensure that all of its officers, administrators, employees,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contractors, and volunteers who may or will have contact with minors while</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providing services or performing activities that are directly or indirectly funded</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with City funds (the “Relevant Personnel”) are screened in accordance with,</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receive training on, and comply with all federal, state, and local laws,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ordinances, regulations, and directives, as well as all rules imposed by school</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districts or other government agencies, that are directed at preventing abuse</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or neglect of minors or promoting the safety, protection, and wellbeing of</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minors (collectively “Child Protection Laws”), including without limitation,</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where applicable, any of the following:</w:t>
      </w:r>
    </w:p>
    <w:p w14:paraId="148FCAFF" w14:textId="77777777" w:rsidR="0033358C" w:rsidRPr="0033358C" w:rsidRDefault="0033358C" w:rsidP="000A20A5">
      <w:pPr>
        <w:widowControl/>
        <w:jc w:val="both"/>
        <w:rPr>
          <w:rFonts w:asciiTheme="minorHAnsi" w:eastAsia="Times New Roman" w:hAnsiTheme="minorHAnsi" w:cstheme="minorHAnsi"/>
          <w:b/>
          <w:sz w:val="22"/>
          <w:szCs w:val="22"/>
        </w:rPr>
      </w:pPr>
    </w:p>
    <w:p w14:paraId="03627695" w14:textId="045D8F4D" w:rsidR="00D16B4C" w:rsidRDefault="00D16B4C" w:rsidP="000A20A5">
      <w:pPr>
        <w:widowControl/>
        <w:jc w:val="both"/>
        <w:rPr>
          <w:rFonts w:asciiTheme="minorHAnsi" w:eastAsia="Times New Roman" w:hAnsiTheme="minorHAnsi" w:cstheme="minorHAnsi"/>
          <w:b/>
          <w:sz w:val="22"/>
          <w:szCs w:val="22"/>
        </w:rPr>
      </w:pPr>
      <w:r w:rsidRPr="0033358C">
        <w:rPr>
          <w:rFonts w:asciiTheme="minorHAnsi" w:eastAsia="Times New Roman" w:hAnsiTheme="minorHAnsi" w:cstheme="minorHAnsi"/>
          <w:b/>
          <w:sz w:val="22"/>
          <w:szCs w:val="22"/>
        </w:rPr>
        <w:t>a. requirements for the performance of “Live Scan” background</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checks which involve submitting fingerprints to the Department of</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Justice and Federal Bureau of Investigation for all available criminal</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history information (see California Education Code § 10911.5;</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California Penal Code § 11105.03);</w:t>
      </w:r>
    </w:p>
    <w:p w14:paraId="144F3E3D" w14:textId="77777777" w:rsidR="0033358C" w:rsidRPr="0033358C" w:rsidRDefault="0033358C" w:rsidP="000A20A5">
      <w:pPr>
        <w:widowControl/>
        <w:jc w:val="both"/>
        <w:rPr>
          <w:rFonts w:asciiTheme="minorHAnsi" w:eastAsia="Times New Roman" w:hAnsiTheme="minorHAnsi" w:cstheme="minorHAnsi"/>
          <w:b/>
          <w:sz w:val="22"/>
          <w:szCs w:val="22"/>
        </w:rPr>
      </w:pPr>
    </w:p>
    <w:p w14:paraId="7C9BBA3B" w14:textId="5E4614E6" w:rsidR="00D16B4C" w:rsidRDefault="00D16B4C" w:rsidP="000A20A5">
      <w:pPr>
        <w:widowControl/>
        <w:jc w:val="both"/>
        <w:rPr>
          <w:rFonts w:asciiTheme="minorHAnsi" w:eastAsia="Times New Roman" w:hAnsiTheme="minorHAnsi" w:cstheme="minorHAnsi"/>
          <w:b/>
          <w:sz w:val="22"/>
          <w:szCs w:val="22"/>
        </w:rPr>
      </w:pPr>
      <w:r w:rsidRPr="0033358C">
        <w:rPr>
          <w:rFonts w:asciiTheme="minorHAnsi" w:eastAsia="Times New Roman" w:hAnsiTheme="minorHAnsi" w:cstheme="minorHAnsi"/>
          <w:b/>
          <w:sz w:val="22"/>
          <w:szCs w:val="22"/>
        </w:rPr>
        <w:t>b. requirements to undergo Tuberculosis (TB) risk assessments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and/or examinations and produce certificates that show individuals</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are free of infectious tuberculosis (see California Education Code</w:t>
      </w:r>
      <w:r w:rsidR="00474E58" w:rsidRPr="0033358C">
        <w:rPr>
          <w:rFonts w:asciiTheme="minorHAnsi" w:eastAsia="Times New Roman" w:hAnsiTheme="minorHAnsi" w:cstheme="minorHAnsi"/>
          <w:b/>
          <w:sz w:val="22"/>
          <w:szCs w:val="22"/>
        </w:rPr>
        <w:t xml:space="preserve"> </w:t>
      </w:r>
      <w:r w:rsidRPr="0033358C">
        <w:rPr>
          <w:rFonts w:asciiTheme="minorHAnsi" w:eastAsia="Times New Roman" w:hAnsiTheme="minorHAnsi" w:cstheme="minorHAnsi"/>
          <w:b/>
          <w:sz w:val="22"/>
          <w:szCs w:val="22"/>
        </w:rPr>
        <w:t>§§ 49406 and 87408.6; California Health and Safety Code §§</w:t>
      </w:r>
      <w:r w:rsidR="00474E58" w:rsidRPr="0033358C">
        <w:rPr>
          <w:rFonts w:asciiTheme="minorHAnsi" w:eastAsia="Times New Roman" w:hAnsiTheme="minorHAnsi" w:cstheme="minorHAnsi"/>
          <w:b/>
          <w:sz w:val="22"/>
          <w:szCs w:val="22"/>
        </w:rPr>
        <w:t xml:space="preserve">I </w:t>
      </w:r>
      <w:r w:rsidRPr="0033358C">
        <w:rPr>
          <w:rFonts w:asciiTheme="minorHAnsi" w:eastAsia="Times New Roman" w:hAnsiTheme="minorHAnsi" w:cstheme="minorHAnsi"/>
          <w:b/>
          <w:sz w:val="22"/>
          <w:szCs w:val="22"/>
        </w:rPr>
        <w:t>1597.055, 121525, 121545, and 121555.); and/or</w:t>
      </w:r>
    </w:p>
    <w:p w14:paraId="419CAEB8" w14:textId="77777777" w:rsidR="0033358C" w:rsidRPr="0033358C" w:rsidRDefault="0033358C" w:rsidP="000A20A5">
      <w:pPr>
        <w:widowControl/>
        <w:jc w:val="both"/>
        <w:rPr>
          <w:rFonts w:asciiTheme="minorHAnsi" w:eastAsia="Times New Roman" w:hAnsiTheme="minorHAnsi" w:cstheme="minorHAnsi"/>
          <w:b/>
          <w:sz w:val="22"/>
          <w:szCs w:val="22"/>
        </w:rPr>
      </w:pPr>
    </w:p>
    <w:p w14:paraId="7A8C3BCB" w14:textId="766E0B71" w:rsidR="00D16B4C" w:rsidRPr="0033358C" w:rsidRDefault="00D16B4C" w:rsidP="000A20A5">
      <w:pPr>
        <w:widowControl/>
        <w:jc w:val="both"/>
        <w:rPr>
          <w:rFonts w:asciiTheme="minorHAnsi" w:hAnsiTheme="minorHAnsi" w:cstheme="minorHAnsi"/>
          <w:b/>
          <w:sz w:val="22"/>
          <w:szCs w:val="22"/>
        </w:rPr>
      </w:pPr>
      <w:r w:rsidRPr="00C619C2">
        <w:rPr>
          <w:rFonts w:asciiTheme="minorHAnsi" w:eastAsia="Times New Roman" w:hAnsiTheme="minorHAnsi" w:cstheme="minorHAnsi"/>
          <w:b/>
          <w:sz w:val="22"/>
          <w:szCs w:val="22"/>
        </w:rPr>
        <w:t>c. requirements to complete Child Abuse Mandated Reporter Training</w:t>
      </w:r>
      <w:r w:rsidR="00474E58" w:rsidRPr="00C619C2">
        <w:rPr>
          <w:rFonts w:asciiTheme="minorHAnsi" w:eastAsia="Times New Roman" w:hAnsiTheme="minorHAnsi" w:cstheme="minorHAnsi"/>
          <w:b/>
          <w:sz w:val="22"/>
          <w:szCs w:val="22"/>
        </w:rPr>
        <w:t xml:space="preserve"> </w:t>
      </w:r>
      <w:r w:rsidRPr="00C619C2">
        <w:rPr>
          <w:rFonts w:asciiTheme="minorHAnsi" w:eastAsia="Times New Roman" w:hAnsiTheme="minorHAnsi" w:cstheme="minorHAnsi"/>
          <w:b/>
          <w:sz w:val="22"/>
          <w:szCs w:val="22"/>
        </w:rPr>
        <w:t>in compliance with the California Child Abuse and Neglect</w:t>
      </w:r>
      <w:r w:rsidR="00474E58" w:rsidRPr="00C619C2">
        <w:rPr>
          <w:rFonts w:asciiTheme="minorHAnsi" w:eastAsia="Times New Roman" w:hAnsiTheme="minorHAnsi" w:cstheme="minorHAnsi"/>
          <w:b/>
          <w:sz w:val="22"/>
          <w:szCs w:val="22"/>
        </w:rPr>
        <w:t xml:space="preserve"> </w:t>
      </w:r>
      <w:r w:rsidRPr="00C619C2">
        <w:rPr>
          <w:rFonts w:asciiTheme="minorHAnsi" w:eastAsia="Times New Roman" w:hAnsiTheme="minorHAnsi" w:cstheme="minorHAnsi"/>
          <w:b/>
          <w:sz w:val="22"/>
          <w:szCs w:val="22"/>
        </w:rPr>
        <w:t>Reporting Act (see California Penal Code §§ 11164-11174.3).</w:t>
      </w:r>
    </w:p>
    <w:p w14:paraId="3DE387BF" w14:textId="2AECF5C7" w:rsidR="009A01AA" w:rsidRDefault="009A01AA"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5F9D8B43" w14:textId="21BB2C90" w:rsidR="0033358C" w:rsidRDefault="00113620"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Pr>
          <w:rFonts w:asciiTheme="minorHAnsi" w:hAnsiTheme="minorHAnsi" w:cstheme="minorHAnsi"/>
          <w:sz w:val="22"/>
          <w:szCs w:val="22"/>
        </w:rPr>
        <w:t xml:space="preserve">Venice Family Clinic signed our contract for the grant term starting July 1, 2022 on January 10, 2023. The specific language here appears to be new </w:t>
      </w:r>
      <w:r w:rsidR="00C619C2">
        <w:rPr>
          <w:rFonts w:asciiTheme="minorHAnsi" w:hAnsiTheme="minorHAnsi" w:cstheme="minorHAnsi"/>
          <w:sz w:val="22"/>
          <w:szCs w:val="22"/>
        </w:rPr>
        <w:t xml:space="preserve">to </w:t>
      </w:r>
      <w:r>
        <w:rPr>
          <w:rFonts w:asciiTheme="minorHAnsi" w:hAnsiTheme="minorHAnsi" w:cstheme="minorHAnsi"/>
          <w:sz w:val="22"/>
          <w:szCs w:val="22"/>
        </w:rPr>
        <w:t xml:space="preserve">this year, so we are working to ensure that we are appropriately following the requirements. To that end we will </w:t>
      </w:r>
      <w:r w:rsidR="00526F18">
        <w:rPr>
          <w:rFonts w:asciiTheme="minorHAnsi" w:hAnsiTheme="minorHAnsi" w:cstheme="minorHAnsi"/>
          <w:sz w:val="22"/>
          <w:szCs w:val="22"/>
        </w:rPr>
        <w:t>need</w:t>
      </w:r>
      <w:r>
        <w:rPr>
          <w:rFonts w:asciiTheme="minorHAnsi" w:hAnsiTheme="minorHAnsi" w:cstheme="minorHAnsi"/>
          <w:sz w:val="22"/>
          <w:szCs w:val="22"/>
        </w:rPr>
        <w:t xml:space="preserve"> additional information to clarify expectations on item </w:t>
      </w:r>
      <w:r w:rsidR="00F176C2">
        <w:rPr>
          <w:rFonts w:asciiTheme="minorHAnsi" w:hAnsiTheme="minorHAnsi" w:cstheme="minorHAnsi"/>
          <w:sz w:val="22"/>
          <w:szCs w:val="22"/>
        </w:rPr>
        <w:t>C</w:t>
      </w:r>
      <w:r>
        <w:rPr>
          <w:rFonts w:asciiTheme="minorHAnsi" w:hAnsiTheme="minorHAnsi" w:cstheme="minorHAnsi"/>
          <w:sz w:val="22"/>
          <w:szCs w:val="22"/>
        </w:rPr>
        <w:t xml:space="preserve"> above, including the expectations of how we will provide evidence t</w:t>
      </w:r>
      <w:r w:rsidR="00F176C2">
        <w:rPr>
          <w:rFonts w:asciiTheme="minorHAnsi" w:hAnsiTheme="minorHAnsi" w:cstheme="minorHAnsi"/>
          <w:sz w:val="22"/>
          <w:szCs w:val="22"/>
        </w:rPr>
        <w:t>o</w:t>
      </w:r>
      <w:r>
        <w:rPr>
          <w:rFonts w:asciiTheme="minorHAnsi" w:hAnsiTheme="minorHAnsi" w:cstheme="minorHAnsi"/>
          <w:sz w:val="22"/>
          <w:szCs w:val="22"/>
        </w:rPr>
        <w:t xml:space="preserve"> ensure we are in compliance. Jenny O’Brian, our Director of Institutional Giving, </w:t>
      </w:r>
      <w:r w:rsidR="003F77ED">
        <w:rPr>
          <w:rFonts w:asciiTheme="minorHAnsi" w:hAnsiTheme="minorHAnsi" w:cstheme="minorHAnsi"/>
          <w:sz w:val="22"/>
          <w:szCs w:val="22"/>
        </w:rPr>
        <w:t>would be happy to discuss clarification on these commitments.</w:t>
      </w:r>
    </w:p>
    <w:p w14:paraId="24A960CA" w14:textId="77777777" w:rsidR="003F77ED" w:rsidRPr="0033358C" w:rsidRDefault="003F77ED"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1C3F4FDD" w14:textId="0206331A" w:rsidR="00C201E7" w:rsidRPr="0033358C" w:rsidRDefault="00C201E7" w:rsidP="000A20A5">
      <w:pPr>
        <w:tabs>
          <w:tab w:val="left" w:pos="-720"/>
          <w:tab w:val="left" w:pos="114"/>
          <w:tab w:val="left" w:pos="294"/>
          <w:tab w:val="left" w:pos="2160"/>
          <w:tab w:val="left" w:pos="2520"/>
          <w:tab w:val="left" w:pos="3600"/>
          <w:tab w:val="left" w:pos="4320"/>
          <w:tab w:val="left" w:pos="4860"/>
          <w:tab w:val="left" w:pos="5760"/>
        </w:tabs>
        <w:jc w:val="both"/>
        <w:rPr>
          <w:rFonts w:asciiTheme="minorHAnsi" w:hAnsiTheme="minorHAnsi" w:cstheme="minorHAnsi"/>
          <w:b/>
          <w:sz w:val="22"/>
          <w:szCs w:val="22"/>
          <w:u w:val="single"/>
        </w:rPr>
        <w:sectPr w:rsidR="00C201E7" w:rsidRPr="0033358C" w:rsidSect="00837E7E">
          <w:footerReference w:type="default" r:id="rId14"/>
          <w:endnotePr>
            <w:numFmt w:val="decimal"/>
          </w:endnotePr>
          <w:pgSz w:w="12240" w:h="15840"/>
          <w:pgMar w:top="1080" w:right="1080" w:bottom="1080" w:left="1080" w:header="1080" w:footer="691" w:gutter="0"/>
          <w:cols w:space="720"/>
          <w:noEndnote/>
        </w:sectPr>
      </w:pPr>
    </w:p>
    <w:p w14:paraId="43E797F1" w14:textId="4AABF615" w:rsidR="0062632F" w:rsidRPr="00FD11B9" w:rsidRDefault="0062632F" w:rsidP="000A20A5">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0419E5">
        <w:rPr>
          <w:rFonts w:ascii="Arial" w:hAnsi="Arial" w:hint="eastAsia"/>
          <w:b/>
          <w:sz w:val="22"/>
          <w:szCs w:val="22"/>
          <w:u w:val="single"/>
        </w:rPr>
        <w:t xml:space="preserve"> </w:t>
      </w:r>
      <w:r w:rsidR="00274947">
        <w:rPr>
          <w:rFonts w:ascii="Arial" w:hAnsi="Arial"/>
          <w:b/>
          <w:sz w:val="22"/>
          <w:szCs w:val="22"/>
          <w:u w:val="single"/>
        </w:rPr>
        <w:t>SERVICE NEEDS AND REFERRALS</w:t>
      </w:r>
    </w:p>
    <w:p w14:paraId="26BCDD68" w14:textId="196981AF" w:rsidR="0062632F" w:rsidRDefault="0062632F"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7FA0C46D" w14:textId="499988E7" w:rsidR="002422C1" w:rsidRDefault="002422C1"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48370714" w14:textId="77777777" w:rsidR="002422C1" w:rsidRDefault="002422C1" w:rsidP="000A20A5">
      <w:pPr>
        <w:tabs>
          <w:tab w:val="left" w:pos="-720"/>
          <w:tab w:val="left" w:pos="114"/>
          <w:tab w:val="left" w:pos="294"/>
          <w:tab w:val="left" w:pos="2160"/>
          <w:tab w:val="left" w:pos="2520"/>
          <w:tab w:val="left" w:pos="3600"/>
          <w:tab w:val="left" w:pos="4320"/>
          <w:tab w:val="left" w:pos="4860"/>
          <w:tab w:val="left" w:pos="5760"/>
        </w:tabs>
        <w:spacing w:after="120"/>
        <w:jc w:val="both"/>
        <w:rPr>
          <w:rFonts w:asciiTheme="minorHAnsi" w:hAnsiTheme="minorHAnsi" w:cstheme="minorHAnsi"/>
          <w:sz w:val="21"/>
          <w:szCs w:val="21"/>
        </w:rPr>
      </w:pPr>
      <w:r>
        <w:rPr>
          <w:rFonts w:asciiTheme="minorHAnsi" w:hAnsiTheme="minorHAnsi" w:cstheme="minorHAnsi"/>
          <w:sz w:val="21"/>
          <w:szCs w:val="21"/>
        </w:rPr>
        <w:t xml:space="preserve">Venice Family Clinic does not collect the data requested below. </w:t>
      </w:r>
    </w:p>
    <w:p w14:paraId="66745F51" w14:textId="77777777" w:rsidR="0062632F" w:rsidRDefault="0062632F" w:rsidP="000A20A5">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0A20A5">
            <w:pPr>
              <w:jc w:val="both"/>
              <w:rPr>
                <w:rFonts w:ascii="Arial" w:hAnsi="Arial"/>
                <w:b/>
                <w:sz w:val="21"/>
              </w:rPr>
            </w:pPr>
            <w:r>
              <w:rPr>
                <w:rFonts w:ascii="Arial" w:hAnsi="Arial"/>
                <w:b/>
                <w:sz w:val="21"/>
              </w:rPr>
              <w:t>ASSESSMENT OF ADDITIONAL SERVICE NEEDS</w:t>
            </w:r>
          </w:p>
          <w:p w14:paraId="65FDF994" w14:textId="77777777" w:rsidR="0062632F" w:rsidRPr="002D29CC" w:rsidRDefault="0062632F" w:rsidP="000A20A5">
            <w:pPr>
              <w:jc w:val="both"/>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0A20A5">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0A20A5">
            <w:pPr>
              <w:jc w:val="both"/>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0A20A5">
            <w:pPr>
              <w:jc w:val="both"/>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0A20A5">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0A20A5">
            <w:pPr>
              <w:jc w:val="both"/>
              <w:rPr>
                <w:rFonts w:ascii="Arial" w:hAnsi="Arial"/>
                <w:b/>
                <w:sz w:val="21"/>
              </w:rPr>
            </w:pPr>
            <w:r>
              <w:rPr>
                <w:rFonts w:ascii="Arial" w:hAnsi="Arial"/>
                <w:b/>
                <w:sz w:val="21"/>
              </w:rPr>
              <w:t>Number Responding “Yes”</w:t>
            </w:r>
          </w:p>
          <w:p w14:paraId="65A69DC1" w14:textId="77777777" w:rsidR="0062632F" w:rsidRPr="00C201E7" w:rsidRDefault="0062632F" w:rsidP="000A20A5">
            <w:pPr>
              <w:jc w:val="both"/>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0A20A5">
            <w:pPr>
              <w:numPr>
                <w:ilvl w:val="0"/>
                <w:numId w:val="6"/>
              </w:numPr>
              <w:jc w:val="both"/>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777777" w:rsidR="0062632F" w:rsidRDefault="0062632F" w:rsidP="000A20A5">
            <w:pPr>
              <w:jc w:val="both"/>
              <w:rPr>
                <w:rFonts w:ascii="Arial" w:hAnsi="Arial"/>
                <w:sz w:val="21"/>
              </w:rPr>
            </w:pPr>
          </w:p>
        </w:tc>
        <w:tc>
          <w:tcPr>
            <w:tcW w:w="1911" w:type="dxa"/>
            <w:vAlign w:val="center"/>
          </w:tcPr>
          <w:p w14:paraId="0CADC2C2" w14:textId="77777777" w:rsidR="0062632F" w:rsidRDefault="0062632F" w:rsidP="000A20A5">
            <w:pPr>
              <w:jc w:val="both"/>
              <w:rPr>
                <w:rFonts w:ascii="Arial" w:hAnsi="Arial"/>
                <w:sz w:val="21"/>
              </w:rPr>
            </w:pPr>
          </w:p>
        </w:tc>
      </w:tr>
      <w:tr w:rsidR="0062632F" w14:paraId="0343B3BA" w14:textId="77777777" w:rsidTr="00F10DDB">
        <w:trPr>
          <w:trHeight w:val="460"/>
          <w:jc w:val="center"/>
        </w:trPr>
        <w:tc>
          <w:tcPr>
            <w:tcW w:w="5949" w:type="dxa"/>
            <w:vAlign w:val="center"/>
          </w:tcPr>
          <w:p w14:paraId="260153CD" w14:textId="77777777" w:rsidR="0062632F" w:rsidRDefault="0062632F" w:rsidP="000A20A5">
            <w:pPr>
              <w:numPr>
                <w:ilvl w:val="0"/>
                <w:numId w:val="6"/>
              </w:numPr>
              <w:ind w:left="381"/>
              <w:jc w:val="both"/>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0A20A5">
            <w:pPr>
              <w:jc w:val="both"/>
              <w:rPr>
                <w:rFonts w:ascii="Arial" w:hAnsi="Arial"/>
                <w:sz w:val="21"/>
              </w:rPr>
            </w:pPr>
          </w:p>
        </w:tc>
        <w:tc>
          <w:tcPr>
            <w:tcW w:w="1911" w:type="dxa"/>
            <w:vAlign w:val="center"/>
          </w:tcPr>
          <w:p w14:paraId="2A471029" w14:textId="77777777" w:rsidR="0062632F" w:rsidRDefault="0062632F" w:rsidP="000A20A5">
            <w:pPr>
              <w:jc w:val="both"/>
              <w:rPr>
                <w:rFonts w:ascii="Arial" w:hAnsi="Arial"/>
                <w:sz w:val="21"/>
              </w:rPr>
            </w:pP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0A20A5">
            <w:pPr>
              <w:numPr>
                <w:ilvl w:val="0"/>
                <w:numId w:val="6"/>
              </w:numPr>
              <w:ind w:left="381"/>
              <w:jc w:val="both"/>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0A20A5">
            <w:pPr>
              <w:jc w:val="both"/>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Default="0062632F" w:rsidP="000A20A5">
            <w:pPr>
              <w:jc w:val="both"/>
              <w:rPr>
                <w:rFonts w:ascii="Arial" w:hAnsi="Arial"/>
                <w:sz w:val="21"/>
              </w:rPr>
            </w:pPr>
          </w:p>
        </w:tc>
      </w:tr>
    </w:tbl>
    <w:p w14:paraId="0208F8C6" w14:textId="77777777" w:rsidR="0062632F" w:rsidRDefault="0062632F" w:rsidP="000A20A5">
      <w:pPr>
        <w:jc w:val="both"/>
        <w:rPr>
          <w:rFonts w:ascii="Arial" w:hAnsi="Arial"/>
          <w:sz w:val="21"/>
        </w:rPr>
      </w:pPr>
    </w:p>
    <w:p w14:paraId="2D3C6713" w14:textId="77777777" w:rsidR="0062632F" w:rsidRDefault="0062632F" w:rsidP="000A20A5">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0A20A5">
            <w:pPr>
              <w:jc w:val="both"/>
              <w:rPr>
                <w:rFonts w:ascii="Arial" w:hAnsi="Arial"/>
                <w:b/>
                <w:sz w:val="21"/>
              </w:rPr>
            </w:pPr>
            <w:r>
              <w:rPr>
                <w:rFonts w:ascii="Arial" w:hAnsi="Arial"/>
                <w:b/>
                <w:sz w:val="21"/>
              </w:rPr>
              <w:t>INCOMING PARTICIPANT REFERRALS</w:t>
            </w:r>
          </w:p>
          <w:p w14:paraId="3518005F" w14:textId="77777777" w:rsidR="0062632F" w:rsidRPr="002D29CC" w:rsidRDefault="0062632F" w:rsidP="000A20A5">
            <w:pPr>
              <w:jc w:val="both"/>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0A20A5">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0A20A5">
            <w:pPr>
              <w:jc w:val="both"/>
              <w:rPr>
                <w:rFonts w:ascii="Arial" w:hAnsi="Arial"/>
                <w:b/>
                <w:sz w:val="21"/>
              </w:rPr>
            </w:pPr>
            <w:r>
              <w:rPr>
                <w:rFonts w:ascii="Arial" w:hAnsi="Arial"/>
                <w:b/>
                <w:sz w:val="21"/>
              </w:rPr>
              <w:t>Number</w:t>
            </w:r>
          </w:p>
          <w:p w14:paraId="05DF511F" w14:textId="77777777" w:rsidR="0062632F" w:rsidRPr="00C201E7" w:rsidRDefault="0062632F" w:rsidP="000A20A5">
            <w:pPr>
              <w:jc w:val="both"/>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0A20A5">
            <w:pPr>
              <w:jc w:val="both"/>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0A20A5">
            <w:pPr>
              <w:jc w:val="both"/>
              <w:rPr>
                <w:rFonts w:ascii="Arial" w:hAnsi="Arial"/>
                <w:b/>
                <w:sz w:val="21"/>
              </w:rPr>
            </w:pPr>
            <w:r>
              <w:rPr>
                <w:rFonts w:ascii="Arial" w:hAnsi="Arial"/>
                <w:b/>
                <w:sz w:val="21"/>
              </w:rPr>
              <w:t>Number</w:t>
            </w:r>
          </w:p>
          <w:p w14:paraId="16D7A791" w14:textId="77777777" w:rsidR="0062632F" w:rsidRPr="00C201E7" w:rsidRDefault="0062632F" w:rsidP="000A20A5">
            <w:pPr>
              <w:jc w:val="both"/>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0A20A5">
            <w:pPr>
              <w:jc w:val="both"/>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0A20A5">
            <w:pPr>
              <w:jc w:val="both"/>
              <w:rPr>
                <w:rFonts w:ascii="Arial" w:hAnsi="Arial"/>
                <w:sz w:val="21"/>
              </w:rPr>
            </w:pPr>
          </w:p>
        </w:tc>
        <w:tc>
          <w:tcPr>
            <w:tcW w:w="1911" w:type="dxa"/>
            <w:vAlign w:val="center"/>
          </w:tcPr>
          <w:p w14:paraId="6B6C2475" w14:textId="77777777" w:rsidR="0062632F" w:rsidRDefault="0062632F" w:rsidP="000A20A5">
            <w:pPr>
              <w:jc w:val="both"/>
              <w:rPr>
                <w:rFonts w:ascii="Arial" w:hAnsi="Arial"/>
                <w:sz w:val="21"/>
              </w:rPr>
            </w:pPr>
          </w:p>
        </w:tc>
      </w:tr>
      <w:tr w:rsidR="0062632F" w14:paraId="2E650335" w14:textId="77777777" w:rsidTr="00F10DDB">
        <w:trPr>
          <w:trHeight w:val="460"/>
          <w:jc w:val="center"/>
        </w:trPr>
        <w:tc>
          <w:tcPr>
            <w:tcW w:w="5949" w:type="dxa"/>
            <w:vAlign w:val="center"/>
          </w:tcPr>
          <w:p w14:paraId="050BBE9D" w14:textId="7114031F" w:rsidR="0062632F" w:rsidRPr="00331622" w:rsidRDefault="000419E5" w:rsidP="000A20A5">
            <w:pPr>
              <w:jc w:val="both"/>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0A20A5">
            <w:pPr>
              <w:jc w:val="both"/>
              <w:rPr>
                <w:rFonts w:ascii="Arial" w:hAnsi="Arial"/>
                <w:sz w:val="21"/>
              </w:rPr>
            </w:pPr>
          </w:p>
        </w:tc>
        <w:tc>
          <w:tcPr>
            <w:tcW w:w="1911" w:type="dxa"/>
            <w:shd w:val="clear" w:color="auto" w:fill="BFBFBF"/>
            <w:vAlign w:val="center"/>
          </w:tcPr>
          <w:p w14:paraId="397DE91E" w14:textId="77777777" w:rsidR="0062632F" w:rsidRDefault="0062632F" w:rsidP="000A20A5">
            <w:pPr>
              <w:jc w:val="both"/>
              <w:rPr>
                <w:rFonts w:ascii="Arial" w:hAnsi="Arial"/>
                <w:sz w:val="21"/>
              </w:rPr>
            </w:pPr>
          </w:p>
        </w:tc>
      </w:tr>
      <w:tr w:rsidR="0062632F" w14:paraId="54E1AAAD" w14:textId="77777777" w:rsidTr="00F10DDB">
        <w:trPr>
          <w:trHeight w:val="460"/>
          <w:jc w:val="center"/>
        </w:trPr>
        <w:tc>
          <w:tcPr>
            <w:tcW w:w="5949" w:type="dxa"/>
            <w:vAlign w:val="center"/>
          </w:tcPr>
          <w:p w14:paraId="7438E3E3" w14:textId="77777777" w:rsidR="0062632F" w:rsidRPr="00331622" w:rsidRDefault="0062632F" w:rsidP="000A20A5">
            <w:pPr>
              <w:numPr>
                <w:ilvl w:val="1"/>
                <w:numId w:val="7"/>
              </w:numPr>
              <w:jc w:val="both"/>
              <w:rPr>
                <w:rFonts w:ascii="Arial" w:hAnsi="Arial"/>
                <w:b/>
                <w:sz w:val="21"/>
              </w:rPr>
            </w:pPr>
          </w:p>
        </w:tc>
        <w:tc>
          <w:tcPr>
            <w:tcW w:w="1890" w:type="dxa"/>
            <w:vAlign w:val="center"/>
          </w:tcPr>
          <w:p w14:paraId="458B8149" w14:textId="77777777" w:rsidR="0062632F" w:rsidRDefault="0062632F" w:rsidP="000A20A5">
            <w:pPr>
              <w:jc w:val="both"/>
              <w:rPr>
                <w:rFonts w:ascii="Arial" w:hAnsi="Arial"/>
                <w:sz w:val="21"/>
              </w:rPr>
            </w:pPr>
          </w:p>
        </w:tc>
        <w:tc>
          <w:tcPr>
            <w:tcW w:w="1911" w:type="dxa"/>
            <w:vAlign w:val="center"/>
          </w:tcPr>
          <w:p w14:paraId="13EBB73F" w14:textId="77777777" w:rsidR="0062632F" w:rsidRDefault="0062632F" w:rsidP="000A20A5">
            <w:pPr>
              <w:jc w:val="both"/>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0A20A5">
            <w:pPr>
              <w:numPr>
                <w:ilvl w:val="1"/>
                <w:numId w:val="7"/>
              </w:numPr>
              <w:jc w:val="both"/>
              <w:rPr>
                <w:rFonts w:ascii="Arial" w:hAnsi="Arial"/>
                <w:b/>
                <w:sz w:val="21"/>
              </w:rPr>
            </w:pPr>
          </w:p>
        </w:tc>
        <w:tc>
          <w:tcPr>
            <w:tcW w:w="1890" w:type="dxa"/>
            <w:vAlign w:val="center"/>
          </w:tcPr>
          <w:p w14:paraId="508DCB62" w14:textId="77777777" w:rsidR="0062632F" w:rsidRDefault="0062632F" w:rsidP="000A20A5">
            <w:pPr>
              <w:jc w:val="both"/>
              <w:rPr>
                <w:rFonts w:ascii="Arial" w:hAnsi="Arial"/>
                <w:sz w:val="21"/>
              </w:rPr>
            </w:pPr>
          </w:p>
        </w:tc>
        <w:tc>
          <w:tcPr>
            <w:tcW w:w="1911" w:type="dxa"/>
            <w:vAlign w:val="center"/>
          </w:tcPr>
          <w:p w14:paraId="6AC04F08" w14:textId="77777777" w:rsidR="0062632F" w:rsidRDefault="0062632F" w:rsidP="000A20A5">
            <w:pPr>
              <w:jc w:val="both"/>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0A20A5">
            <w:pPr>
              <w:numPr>
                <w:ilvl w:val="1"/>
                <w:numId w:val="7"/>
              </w:numPr>
              <w:jc w:val="both"/>
              <w:rPr>
                <w:rFonts w:ascii="Arial" w:hAnsi="Arial"/>
                <w:b/>
                <w:sz w:val="21"/>
              </w:rPr>
            </w:pPr>
          </w:p>
        </w:tc>
        <w:tc>
          <w:tcPr>
            <w:tcW w:w="1890" w:type="dxa"/>
            <w:vAlign w:val="center"/>
          </w:tcPr>
          <w:p w14:paraId="47E57FBA" w14:textId="77777777" w:rsidR="0062632F" w:rsidRDefault="0062632F" w:rsidP="000A20A5">
            <w:pPr>
              <w:jc w:val="both"/>
              <w:rPr>
                <w:rFonts w:ascii="Arial" w:hAnsi="Arial"/>
                <w:sz w:val="21"/>
              </w:rPr>
            </w:pPr>
          </w:p>
        </w:tc>
        <w:tc>
          <w:tcPr>
            <w:tcW w:w="1911" w:type="dxa"/>
            <w:vAlign w:val="center"/>
          </w:tcPr>
          <w:p w14:paraId="4A61D24B" w14:textId="77777777" w:rsidR="0062632F" w:rsidRDefault="0062632F" w:rsidP="000A20A5">
            <w:pPr>
              <w:jc w:val="both"/>
              <w:rPr>
                <w:rFonts w:ascii="Arial" w:hAnsi="Arial"/>
                <w:sz w:val="21"/>
              </w:rPr>
            </w:pPr>
          </w:p>
        </w:tc>
      </w:tr>
    </w:tbl>
    <w:p w14:paraId="75BFF382" w14:textId="6E26245D" w:rsidR="00F33893" w:rsidRDefault="00F33893"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highlight w:val="yellow"/>
          <w:u w:val="single"/>
        </w:rPr>
      </w:pPr>
    </w:p>
    <w:p w14:paraId="0154CB86" w14:textId="77777777" w:rsidR="006906CB" w:rsidRDefault="006906CB"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highlight w:val="yellow"/>
          <w:u w:val="single"/>
        </w:rPr>
      </w:pPr>
    </w:p>
    <w:p w14:paraId="6B52B348" w14:textId="77777777" w:rsidR="006906CB" w:rsidRDefault="006906CB"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highlight w:val="yellow"/>
          <w:u w:val="single"/>
        </w:rPr>
      </w:pPr>
    </w:p>
    <w:p w14:paraId="2B3EE992" w14:textId="77777777" w:rsidR="006906CB" w:rsidRDefault="006906CB"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highlight w:val="yellow"/>
          <w:u w:val="single"/>
        </w:rPr>
      </w:pPr>
    </w:p>
    <w:p w14:paraId="7EC566BD" w14:textId="77777777" w:rsidR="006906CB" w:rsidRDefault="006906CB"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highlight w:val="yellow"/>
          <w:u w:val="single"/>
        </w:rPr>
      </w:pPr>
    </w:p>
    <w:p w14:paraId="192E6BA5" w14:textId="07B9D24C" w:rsidR="00F33893" w:rsidRDefault="00F33893"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sidRPr="00202CC6">
        <w:rPr>
          <w:rFonts w:ascii="Arial" w:hAnsi="Arial" w:hint="eastAsia"/>
          <w:b/>
          <w:sz w:val="21"/>
          <w:u w:val="single"/>
        </w:rPr>
        <w:lastRenderedPageBreak/>
        <w:t xml:space="preserve">SECTION </w:t>
      </w:r>
      <w:r w:rsidRPr="00202CC6">
        <w:rPr>
          <w:rFonts w:ascii="Arial" w:hAnsi="Arial"/>
          <w:b/>
          <w:sz w:val="21"/>
          <w:u w:val="single"/>
        </w:rPr>
        <w:t>VI</w:t>
      </w:r>
      <w:r w:rsidRPr="00202CC6">
        <w:rPr>
          <w:rFonts w:ascii="Arial" w:hAnsi="Arial" w:hint="eastAsia"/>
          <w:b/>
          <w:sz w:val="21"/>
          <w:u w:val="single"/>
        </w:rPr>
        <w:t>I: PROGRAM SERVICES AND OUTCOMES</w:t>
      </w:r>
    </w:p>
    <w:p w14:paraId="47E63F28" w14:textId="4EFBB631" w:rsidR="006906CB" w:rsidRPr="006906CB" w:rsidRDefault="00F33893"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Pr>
          <w:rFonts w:ascii="Arial" w:hAnsi="Arial" w:hint="eastAsia"/>
          <w:sz w:val="21"/>
        </w:rPr>
        <w:t xml:space="preserve">for Santa Monica program participants </w:t>
      </w:r>
      <w:r>
        <w:rPr>
          <w:rFonts w:ascii="Arial" w:hAnsi="Arial"/>
          <w:sz w:val="21"/>
        </w:rPr>
        <w:t xml:space="preserve">as </w:t>
      </w:r>
      <w:r>
        <w:rPr>
          <w:rFonts w:ascii="Arial" w:hAnsi="Arial" w:hint="eastAsia"/>
          <w:sz w:val="21"/>
        </w:rPr>
        <w:t xml:space="preserve">indicated in Section </w:t>
      </w:r>
      <w:r>
        <w:rPr>
          <w:rFonts w:ascii="Arial" w:hAnsi="Arial"/>
          <w:sz w:val="21"/>
        </w:rPr>
        <w:t>VII</w:t>
      </w:r>
      <w:r w:rsidRPr="00D41D04">
        <w:rPr>
          <w:rFonts w:ascii="Arial" w:hAnsi="Arial" w:hint="eastAsia"/>
          <w:sz w:val="21"/>
        </w:rPr>
        <w:t xml:space="preserve"> of your Program Plan.</w:t>
      </w:r>
      <w:r>
        <w:rPr>
          <w:rFonts w:ascii="Arial" w:hAnsi="Arial" w:hint="eastAsia"/>
          <w:sz w:val="21"/>
        </w:rPr>
        <w:t xml:space="preserve"> </w:t>
      </w:r>
      <w:r>
        <w:rPr>
          <w:rFonts w:ascii="Arial" w:hAnsi="Arial"/>
          <w:sz w:val="21"/>
        </w:rPr>
        <w:t xml:space="preserve">Examples have been provided for your reference; please insert rows as needed to align with your Program Plan. </w:t>
      </w:r>
      <w:r w:rsidRPr="002155E0">
        <w:rPr>
          <w:rFonts w:ascii="Arial" w:hAnsi="Arial" w:cs="Arial"/>
          <w:sz w:val="21"/>
        </w:rPr>
        <w:t>For outcome achievement not documented in a report, please provide narrative explanation and/or documentation of how outcome data is captured.</w:t>
      </w:r>
    </w:p>
    <w:tbl>
      <w:tblPr>
        <w:tblpPr w:leftFromText="180" w:rightFromText="180" w:vertAnchor="text" w:horzAnchor="margin" w:tblpX="-185" w:tblpY="792"/>
        <w:tblW w:w="14130" w:type="dxa"/>
        <w:tblLook w:val="04A0" w:firstRow="1" w:lastRow="0" w:firstColumn="1" w:lastColumn="0" w:noHBand="0" w:noVBand="1"/>
      </w:tblPr>
      <w:tblGrid>
        <w:gridCol w:w="445"/>
        <w:gridCol w:w="1172"/>
        <w:gridCol w:w="898"/>
        <w:gridCol w:w="2790"/>
        <w:gridCol w:w="3600"/>
        <w:gridCol w:w="1440"/>
        <w:gridCol w:w="1853"/>
        <w:gridCol w:w="1932"/>
      </w:tblGrid>
      <w:tr w:rsidR="006906CB" w14:paraId="1D6A17E4" w14:textId="77777777" w:rsidTr="00837838">
        <w:trPr>
          <w:trHeight w:val="347"/>
        </w:trPr>
        <w:tc>
          <w:tcPr>
            <w:tcW w:w="44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C006290" w14:textId="77777777" w:rsidR="006906CB" w:rsidRDefault="006906CB" w:rsidP="000A20A5">
            <w:pPr>
              <w:widowControl/>
              <w:autoSpaceDE/>
              <w:autoSpaceDN/>
              <w:adjustRightInd/>
              <w:jc w:val="both"/>
              <w:rPr>
                <w:rFonts w:asciiTheme="minorHAnsi" w:hAnsiTheme="minorHAnsi" w:cstheme="minorHAnsi"/>
                <w:b/>
                <w:bCs/>
                <w:color w:val="000000"/>
                <w:sz w:val="16"/>
                <w:szCs w:val="16"/>
              </w:rPr>
            </w:pPr>
          </w:p>
          <w:p w14:paraId="4F55980D" w14:textId="76FF522C" w:rsidR="006906CB" w:rsidRPr="006906CB" w:rsidRDefault="006906CB" w:rsidP="000A20A5">
            <w:pPr>
              <w:widowControl/>
              <w:autoSpaceDE/>
              <w:autoSpaceDN/>
              <w:adjustRightInd/>
              <w:jc w:val="both"/>
              <w:rPr>
                <w:rFonts w:asciiTheme="minorHAnsi" w:eastAsia="Times New Roman" w:hAnsiTheme="minorHAnsi" w:cstheme="minorHAnsi"/>
                <w:b/>
                <w:bCs/>
                <w:color w:val="000000"/>
                <w:sz w:val="16"/>
                <w:szCs w:val="16"/>
              </w:rPr>
            </w:pP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1B7169F"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Service Category/ Program Goal</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7EB9AD2"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Activity Type</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49F2195"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Activity Description</w:t>
            </w:r>
          </w:p>
        </w:tc>
        <w:tc>
          <w:tcPr>
            <w:tcW w:w="3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7D85348"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 xml:space="preserve">Annual Target* </w:t>
            </w:r>
          </w:p>
        </w:tc>
        <w:tc>
          <w:tcPr>
            <w:tcW w:w="1440" w:type="dxa"/>
            <w:tcBorders>
              <w:top w:val="single" w:sz="4" w:space="0" w:color="auto"/>
              <w:left w:val="nil"/>
              <w:bottom w:val="single" w:sz="4" w:space="0" w:color="auto"/>
              <w:right w:val="single" w:sz="4" w:space="0" w:color="auto"/>
            </w:tcBorders>
            <w:shd w:val="clear" w:color="000000" w:fill="C0C0C0"/>
            <w:vAlign w:val="center"/>
            <w:hideMark/>
          </w:tcPr>
          <w:p w14:paraId="60FFB843"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Documentation</w:t>
            </w:r>
          </w:p>
        </w:tc>
        <w:tc>
          <w:tcPr>
            <w:tcW w:w="1853" w:type="dxa"/>
            <w:tcBorders>
              <w:top w:val="single" w:sz="4" w:space="0" w:color="auto"/>
              <w:left w:val="nil"/>
              <w:bottom w:val="single" w:sz="4" w:space="0" w:color="auto"/>
              <w:right w:val="single" w:sz="4" w:space="0" w:color="auto"/>
            </w:tcBorders>
            <w:shd w:val="clear" w:color="000000" w:fill="C0C0C0"/>
            <w:vAlign w:val="center"/>
            <w:hideMark/>
          </w:tcPr>
          <w:p w14:paraId="4D4CCAA4"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 xml:space="preserve">Mid-Year </w:t>
            </w:r>
          </w:p>
        </w:tc>
        <w:tc>
          <w:tcPr>
            <w:tcW w:w="1932" w:type="dxa"/>
            <w:tcBorders>
              <w:top w:val="single" w:sz="4" w:space="0" w:color="auto"/>
              <w:left w:val="nil"/>
              <w:bottom w:val="single" w:sz="4" w:space="0" w:color="auto"/>
              <w:right w:val="single" w:sz="4" w:space="0" w:color="auto"/>
            </w:tcBorders>
            <w:shd w:val="clear" w:color="000000" w:fill="C0C0C0"/>
            <w:vAlign w:val="center"/>
            <w:hideMark/>
          </w:tcPr>
          <w:p w14:paraId="1606C96D"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 xml:space="preserve">Year-End </w:t>
            </w:r>
          </w:p>
        </w:tc>
      </w:tr>
      <w:tr w:rsidR="006906CB" w14:paraId="2A9BA0C1" w14:textId="77777777" w:rsidTr="00837838">
        <w:trPr>
          <w:trHeight w:val="176"/>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0A234FA3" w14:textId="77777777" w:rsidR="006906CB" w:rsidRPr="006906CB" w:rsidRDefault="006906CB" w:rsidP="000A20A5">
            <w:pPr>
              <w:jc w:val="both"/>
              <w:rPr>
                <w:rFonts w:asciiTheme="minorHAnsi" w:hAnsiTheme="minorHAnsi" w:cstheme="minorHAnsi"/>
                <w:b/>
                <w:bCs/>
                <w:color w:val="000000"/>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07B2D079" w14:textId="77777777" w:rsidR="006906CB" w:rsidRPr="006906CB" w:rsidRDefault="006906CB" w:rsidP="000A20A5">
            <w:pPr>
              <w:jc w:val="both"/>
              <w:rPr>
                <w:rFonts w:asciiTheme="minorHAnsi" w:hAnsiTheme="minorHAnsi" w:cstheme="minorHAnsi"/>
                <w:b/>
                <w:bCs/>
                <w:color w:val="000000"/>
                <w:sz w:val="16"/>
                <w:szCs w:val="16"/>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71F46488" w14:textId="77777777" w:rsidR="006906CB" w:rsidRPr="006906CB" w:rsidRDefault="006906CB" w:rsidP="000A20A5">
            <w:pPr>
              <w:jc w:val="both"/>
              <w:rPr>
                <w:rFonts w:asciiTheme="minorHAnsi" w:hAnsiTheme="minorHAnsi" w:cstheme="minorHAnsi"/>
                <w:b/>
                <w:bCs/>
                <w:color w:val="000000"/>
                <w:sz w:val="16"/>
                <w:szCs w:val="16"/>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7C1A68C" w14:textId="77777777" w:rsidR="006906CB" w:rsidRPr="006906CB" w:rsidRDefault="006906CB" w:rsidP="000A20A5">
            <w:pPr>
              <w:jc w:val="both"/>
              <w:rPr>
                <w:rFonts w:asciiTheme="minorHAnsi" w:hAnsiTheme="minorHAnsi" w:cstheme="minorHAnsi"/>
                <w:b/>
                <w:bCs/>
                <w:color w:val="000000"/>
                <w:sz w:val="16"/>
                <w:szCs w:val="16"/>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B1F2D7C" w14:textId="77777777" w:rsidR="006906CB" w:rsidRPr="006906CB" w:rsidRDefault="006906CB" w:rsidP="000A20A5">
            <w:pPr>
              <w:jc w:val="both"/>
              <w:rPr>
                <w:rFonts w:asciiTheme="minorHAnsi" w:hAnsiTheme="minorHAnsi" w:cstheme="minorHAnsi"/>
                <w:b/>
                <w:bCs/>
                <w:color w:val="000000"/>
                <w:sz w:val="16"/>
                <w:szCs w:val="16"/>
              </w:rPr>
            </w:pPr>
          </w:p>
        </w:tc>
        <w:tc>
          <w:tcPr>
            <w:tcW w:w="1440" w:type="dxa"/>
            <w:tcBorders>
              <w:top w:val="nil"/>
              <w:left w:val="nil"/>
              <w:bottom w:val="single" w:sz="4" w:space="0" w:color="auto"/>
              <w:right w:val="single" w:sz="4" w:space="0" w:color="auto"/>
            </w:tcBorders>
            <w:shd w:val="clear" w:color="000000" w:fill="C0C0C0"/>
            <w:vAlign w:val="center"/>
            <w:hideMark/>
          </w:tcPr>
          <w:p w14:paraId="2620EC14"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Method</w:t>
            </w:r>
          </w:p>
        </w:tc>
        <w:tc>
          <w:tcPr>
            <w:tcW w:w="1853" w:type="dxa"/>
            <w:tcBorders>
              <w:top w:val="nil"/>
              <w:left w:val="nil"/>
              <w:bottom w:val="single" w:sz="4" w:space="0" w:color="auto"/>
              <w:right w:val="single" w:sz="4" w:space="0" w:color="auto"/>
            </w:tcBorders>
            <w:shd w:val="clear" w:color="000000" w:fill="C0C0C0"/>
            <w:vAlign w:val="center"/>
            <w:hideMark/>
          </w:tcPr>
          <w:p w14:paraId="580D82D2"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Status Report</w:t>
            </w:r>
          </w:p>
        </w:tc>
        <w:tc>
          <w:tcPr>
            <w:tcW w:w="1932" w:type="dxa"/>
            <w:tcBorders>
              <w:top w:val="nil"/>
              <w:left w:val="nil"/>
              <w:bottom w:val="single" w:sz="4" w:space="0" w:color="auto"/>
              <w:right w:val="single" w:sz="4" w:space="0" w:color="auto"/>
            </w:tcBorders>
            <w:shd w:val="clear" w:color="000000" w:fill="C0C0C0"/>
            <w:vAlign w:val="center"/>
            <w:hideMark/>
          </w:tcPr>
          <w:p w14:paraId="19609E0A" w14:textId="77777777" w:rsidR="006906CB" w:rsidRPr="006906CB" w:rsidRDefault="006906CB" w:rsidP="000A20A5">
            <w:pPr>
              <w:jc w:val="both"/>
              <w:rPr>
                <w:rFonts w:asciiTheme="minorHAnsi" w:hAnsiTheme="minorHAnsi" w:cstheme="minorHAnsi"/>
                <w:b/>
                <w:bCs/>
                <w:color w:val="000000"/>
                <w:sz w:val="16"/>
                <w:szCs w:val="16"/>
              </w:rPr>
            </w:pPr>
            <w:r w:rsidRPr="006906CB">
              <w:rPr>
                <w:rFonts w:asciiTheme="minorHAnsi" w:hAnsiTheme="minorHAnsi" w:cstheme="minorHAnsi"/>
                <w:b/>
                <w:bCs/>
                <w:color w:val="000000"/>
                <w:sz w:val="16"/>
                <w:szCs w:val="16"/>
              </w:rPr>
              <w:t>Status Report</w:t>
            </w:r>
          </w:p>
        </w:tc>
      </w:tr>
      <w:tr w:rsidR="00837838" w14:paraId="4DC82FD7" w14:textId="77777777" w:rsidTr="00837838">
        <w:trPr>
          <w:trHeight w:val="635"/>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2F72CBA7"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1</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61FBA0B4"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Improve access to primary health care at Santa Monica High School</w:t>
            </w:r>
          </w:p>
        </w:tc>
        <w:tc>
          <w:tcPr>
            <w:tcW w:w="898" w:type="dxa"/>
            <w:tcBorders>
              <w:top w:val="nil"/>
              <w:left w:val="nil"/>
              <w:bottom w:val="single" w:sz="4" w:space="0" w:color="auto"/>
              <w:right w:val="single" w:sz="4" w:space="0" w:color="auto"/>
            </w:tcBorders>
            <w:shd w:val="clear" w:color="auto" w:fill="auto"/>
            <w:vAlign w:val="center"/>
            <w:hideMark/>
          </w:tcPr>
          <w:p w14:paraId="0D510DD5"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Output</w:t>
            </w:r>
          </w:p>
        </w:tc>
        <w:tc>
          <w:tcPr>
            <w:tcW w:w="2790" w:type="dxa"/>
            <w:tcBorders>
              <w:top w:val="nil"/>
              <w:left w:val="nil"/>
              <w:bottom w:val="single" w:sz="4" w:space="0" w:color="auto"/>
              <w:right w:val="single" w:sz="4" w:space="0" w:color="auto"/>
            </w:tcBorders>
            <w:shd w:val="clear" w:color="auto" w:fill="auto"/>
            <w:vAlign w:val="center"/>
            <w:hideMark/>
          </w:tcPr>
          <w:p w14:paraId="798C6231"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Participant at SAMOHI receives high-quality health care services</w:t>
            </w:r>
          </w:p>
        </w:tc>
        <w:tc>
          <w:tcPr>
            <w:tcW w:w="3600" w:type="dxa"/>
            <w:tcBorders>
              <w:top w:val="nil"/>
              <w:left w:val="nil"/>
              <w:bottom w:val="single" w:sz="4" w:space="0" w:color="auto"/>
              <w:right w:val="single" w:sz="4" w:space="0" w:color="auto"/>
            </w:tcBorders>
            <w:shd w:val="clear" w:color="auto" w:fill="auto"/>
            <w:vAlign w:val="center"/>
            <w:hideMark/>
          </w:tcPr>
          <w:p w14:paraId="199FEC63"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290 SMPP</w:t>
            </w:r>
          </w:p>
        </w:tc>
        <w:tc>
          <w:tcPr>
            <w:tcW w:w="1440" w:type="dxa"/>
            <w:tcBorders>
              <w:top w:val="nil"/>
              <w:left w:val="nil"/>
              <w:bottom w:val="single" w:sz="4" w:space="0" w:color="auto"/>
              <w:right w:val="single" w:sz="4" w:space="0" w:color="auto"/>
            </w:tcBorders>
            <w:shd w:val="clear" w:color="auto" w:fill="auto"/>
            <w:vAlign w:val="center"/>
            <w:hideMark/>
          </w:tcPr>
          <w:p w14:paraId="273C4BBD"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Electronic Health Record</w:t>
            </w:r>
          </w:p>
        </w:tc>
        <w:tc>
          <w:tcPr>
            <w:tcW w:w="1853" w:type="dxa"/>
            <w:tcBorders>
              <w:top w:val="nil"/>
              <w:left w:val="nil"/>
              <w:bottom w:val="single" w:sz="4" w:space="0" w:color="auto"/>
              <w:right w:val="single" w:sz="4" w:space="0" w:color="auto"/>
            </w:tcBorders>
            <w:shd w:val="clear" w:color="auto" w:fill="auto"/>
            <w:vAlign w:val="center"/>
            <w:hideMark/>
          </w:tcPr>
          <w:p w14:paraId="4F3246DC"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264 SMPP</w:t>
            </w:r>
          </w:p>
        </w:tc>
        <w:tc>
          <w:tcPr>
            <w:tcW w:w="1932" w:type="dxa"/>
            <w:tcBorders>
              <w:top w:val="nil"/>
              <w:left w:val="nil"/>
              <w:bottom w:val="single" w:sz="4" w:space="0" w:color="auto"/>
              <w:right w:val="single" w:sz="4" w:space="0" w:color="auto"/>
            </w:tcBorders>
            <w:shd w:val="clear" w:color="auto" w:fill="auto"/>
            <w:vAlign w:val="center"/>
            <w:hideMark/>
          </w:tcPr>
          <w:p w14:paraId="56D53E69" w14:textId="21F743D7" w:rsidR="006906CB" w:rsidRPr="00D367CA" w:rsidRDefault="00D367CA" w:rsidP="002D50B8">
            <w:pPr>
              <w:rPr>
                <w:rFonts w:asciiTheme="minorHAnsi" w:hAnsiTheme="minorHAnsi" w:cstheme="minorHAnsi"/>
                <w:color w:val="000000"/>
                <w:sz w:val="16"/>
                <w:szCs w:val="16"/>
              </w:rPr>
            </w:pPr>
            <w:r w:rsidRPr="00D367CA">
              <w:rPr>
                <w:rFonts w:asciiTheme="minorHAnsi" w:hAnsiTheme="minorHAnsi" w:cstheme="minorHAnsi"/>
                <w:color w:val="000000"/>
                <w:sz w:val="16"/>
                <w:szCs w:val="16"/>
              </w:rPr>
              <w:t xml:space="preserve">377 </w:t>
            </w:r>
            <w:r w:rsidR="006906CB" w:rsidRPr="00D367CA">
              <w:rPr>
                <w:rFonts w:asciiTheme="minorHAnsi" w:hAnsiTheme="minorHAnsi" w:cstheme="minorHAnsi"/>
                <w:color w:val="000000"/>
                <w:sz w:val="16"/>
                <w:szCs w:val="16"/>
              </w:rPr>
              <w:t>SMPP</w:t>
            </w:r>
          </w:p>
        </w:tc>
      </w:tr>
      <w:tr w:rsidR="00837838" w14:paraId="64CC48B4" w14:textId="77777777" w:rsidTr="00837838">
        <w:trPr>
          <w:trHeight w:val="788"/>
        </w:trPr>
        <w:tc>
          <w:tcPr>
            <w:tcW w:w="445" w:type="dxa"/>
            <w:vMerge/>
            <w:tcBorders>
              <w:top w:val="nil"/>
              <w:left w:val="single" w:sz="4" w:space="0" w:color="auto"/>
              <w:bottom w:val="single" w:sz="4" w:space="0" w:color="auto"/>
              <w:right w:val="single" w:sz="4" w:space="0" w:color="auto"/>
            </w:tcBorders>
            <w:vAlign w:val="center"/>
            <w:hideMark/>
          </w:tcPr>
          <w:p w14:paraId="13E021F3"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14:paraId="18832EC3"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7BA5AD40"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Outcome</w:t>
            </w:r>
          </w:p>
        </w:tc>
        <w:tc>
          <w:tcPr>
            <w:tcW w:w="2790" w:type="dxa"/>
            <w:tcBorders>
              <w:top w:val="nil"/>
              <w:left w:val="nil"/>
              <w:bottom w:val="single" w:sz="4" w:space="0" w:color="auto"/>
              <w:right w:val="single" w:sz="4" w:space="0" w:color="auto"/>
            </w:tcBorders>
            <w:shd w:val="clear" w:color="auto" w:fill="auto"/>
            <w:vAlign w:val="center"/>
            <w:hideMark/>
          </w:tcPr>
          <w:p w14:paraId="1DF47C38"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Participant receives STD testing and linkage to care as appropriate</w:t>
            </w:r>
          </w:p>
        </w:tc>
        <w:tc>
          <w:tcPr>
            <w:tcW w:w="3600" w:type="dxa"/>
            <w:tcBorders>
              <w:top w:val="nil"/>
              <w:left w:val="nil"/>
              <w:bottom w:val="single" w:sz="4" w:space="0" w:color="auto"/>
              <w:right w:val="single" w:sz="4" w:space="0" w:color="auto"/>
            </w:tcBorders>
            <w:shd w:val="clear" w:color="auto" w:fill="auto"/>
            <w:vAlign w:val="center"/>
            <w:hideMark/>
          </w:tcPr>
          <w:p w14:paraId="474E2F82"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 xml:space="preserve">50% of SMPP will receive STD testing, 95% of these with a positive </w:t>
            </w:r>
            <w:proofErr w:type="spellStart"/>
            <w:r w:rsidRPr="006906CB">
              <w:rPr>
                <w:rFonts w:asciiTheme="minorHAnsi" w:hAnsiTheme="minorHAnsi" w:cstheme="minorHAnsi"/>
                <w:color w:val="000000"/>
                <w:sz w:val="16"/>
                <w:szCs w:val="16"/>
              </w:rPr>
              <w:t>STDtest</w:t>
            </w:r>
            <w:proofErr w:type="spellEnd"/>
            <w:r w:rsidRPr="006906CB">
              <w:rPr>
                <w:rFonts w:asciiTheme="minorHAnsi" w:hAnsiTheme="minorHAnsi" w:cstheme="minorHAnsi"/>
                <w:color w:val="000000"/>
                <w:sz w:val="16"/>
                <w:szCs w:val="16"/>
              </w:rPr>
              <w:t xml:space="preserve"> result will be linked to care.</w:t>
            </w:r>
          </w:p>
        </w:tc>
        <w:tc>
          <w:tcPr>
            <w:tcW w:w="1440" w:type="dxa"/>
            <w:tcBorders>
              <w:top w:val="nil"/>
              <w:left w:val="nil"/>
              <w:bottom w:val="single" w:sz="4" w:space="0" w:color="auto"/>
              <w:right w:val="single" w:sz="4" w:space="0" w:color="auto"/>
            </w:tcBorders>
            <w:shd w:val="clear" w:color="auto" w:fill="auto"/>
            <w:vAlign w:val="center"/>
            <w:hideMark/>
          </w:tcPr>
          <w:p w14:paraId="1D816CCA"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Electronic Health Record</w:t>
            </w:r>
          </w:p>
        </w:tc>
        <w:tc>
          <w:tcPr>
            <w:tcW w:w="1853" w:type="dxa"/>
            <w:tcBorders>
              <w:top w:val="nil"/>
              <w:left w:val="nil"/>
              <w:bottom w:val="single" w:sz="4" w:space="0" w:color="auto"/>
              <w:right w:val="single" w:sz="4" w:space="0" w:color="auto"/>
            </w:tcBorders>
            <w:shd w:val="clear" w:color="auto" w:fill="auto"/>
            <w:vAlign w:val="center"/>
            <w:hideMark/>
          </w:tcPr>
          <w:p w14:paraId="09373DB4"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43% of SMPP received STD testing. There were no positive results.</w:t>
            </w:r>
          </w:p>
        </w:tc>
        <w:tc>
          <w:tcPr>
            <w:tcW w:w="1932" w:type="dxa"/>
            <w:tcBorders>
              <w:top w:val="nil"/>
              <w:left w:val="nil"/>
              <w:bottom w:val="single" w:sz="4" w:space="0" w:color="auto"/>
              <w:right w:val="single" w:sz="4" w:space="0" w:color="auto"/>
            </w:tcBorders>
            <w:shd w:val="clear" w:color="auto" w:fill="auto"/>
            <w:vAlign w:val="center"/>
            <w:hideMark/>
          </w:tcPr>
          <w:p w14:paraId="2746DE56" w14:textId="0B7F466E" w:rsidR="006906CB" w:rsidRPr="00D367CA" w:rsidRDefault="00D367CA" w:rsidP="002D50B8">
            <w:pPr>
              <w:rPr>
                <w:rFonts w:asciiTheme="minorHAnsi" w:hAnsiTheme="minorHAnsi" w:cstheme="minorHAnsi"/>
                <w:color w:val="000000"/>
                <w:sz w:val="16"/>
                <w:szCs w:val="16"/>
              </w:rPr>
            </w:pPr>
            <w:r w:rsidRPr="00D367CA">
              <w:rPr>
                <w:rFonts w:asciiTheme="minorHAnsi" w:hAnsiTheme="minorHAnsi" w:cstheme="minorHAnsi"/>
                <w:color w:val="000000"/>
                <w:sz w:val="16"/>
                <w:szCs w:val="16"/>
              </w:rPr>
              <w:t xml:space="preserve">81% </w:t>
            </w:r>
            <w:r w:rsidR="006906CB" w:rsidRPr="00D367CA">
              <w:rPr>
                <w:rFonts w:asciiTheme="minorHAnsi" w:hAnsiTheme="minorHAnsi" w:cstheme="minorHAnsi"/>
                <w:color w:val="000000"/>
                <w:sz w:val="16"/>
                <w:szCs w:val="16"/>
              </w:rPr>
              <w:t>of SMPP received STD testing. There were no positive results.</w:t>
            </w:r>
          </w:p>
        </w:tc>
      </w:tr>
      <w:tr w:rsidR="00837838" w14:paraId="37C5A6FE" w14:textId="77777777" w:rsidTr="00837838">
        <w:trPr>
          <w:trHeight w:val="779"/>
        </w:trPr>
        <w:tc>
          <w:tcPr>
            <w:tcW w:w="445" w:type="dxa"/>
            <w:vMerge/>
            <w:tcBorders>
              <w:top w:val="nil"/>
              <w:left w:val="single" w:sz="4" w:space="0" w:color="auto"/>
              <w:bottom w:val="single" w:sz="4" w:space="0" w:color="auto"/>
              <w:right w:val="single" w:sz="4" w:space="0" w:color="auto"/>
            </w:tcBorders>
            <w:vAlign w:val="center"/>
            <w:hideMark/>
          </w:tcPr>
          <w:p w14:paraId="0C0E1BD4"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14:paraId="144E3FDA"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18F44BA4"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Outcome</w:t>
            </w:r>
          </w:p>
        </w:tc>
        <w:tc>
          <w:tcPr>
            <w:tcW w:w="2790" w:type="dxa"/>
            <w:tcBorders>
              <w:top w:val="nil"/>
              <w:left w:val="nil"/>
              <w:bottom w:val="single" w:sz="4" w:space="0" w:color="auto"/>
              <w:right w:val="single" w:sz="4" w:space="0" w:color="auto"/>
            </w:tcBorders>
            <w:shd w:val="clear" w:color="auto" w:fill="auto"/>
            <w:vAlign w:val="center"/>
            <w:hideMark/>
          </w:tcPr>
          <w:p w14:paraId="6F0683F4"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Participant receives counseling on and adopts a method of birth control, including abstinence</w:t>
            </w:r>
          </w:p>
        </w:tc>
        <w:tc>
          <w:tcPr>
            <w:tcW w:w="3600" w:type="dxa"/>
            <w:tcBorders>
              <w:top w:val="nil"/>
              <w:left w:val="nil"/>
              <w:bottom w:val="single" w:sz="4" w:space="0" w:color="auto"/>
              <w:right w:val="single" w:sz="4" w:space="0" w:color="auto"/>
            </w:tcBorders>
            <w:shd w:val="clear" w:color="auto" w:fill="auto"/>
            <w:vAlign w:val="center"/>
            <w:hideMark/>
          </w:tcPr>
          <w:p w14:paraId="68011C60"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90% of SMPP will adopt a method of birth control</w:t>
            </w:r>
          </w:p>
        </w:tc>
        <w:tc>
          <w:tcPr>
            <w:tcW w:w="1440" w:type="dxa"/>
            <w:tcBorders>
              <w:top w:val="nil"/>
              <w:left w:val="nil"/>
              <w:bottom w:val="single" w:sz="4" w:space="0" w:color="auto"/>
              <w:right w:val="single" w:sz="4" w:space="0" w:color="auto"/>
            </w:tcBorders>
            <w:shd w:val="clear" w:color="auto" w:fill="auto"/>
            <w:vAlign w:val="center"/>
            <w:hideMark/>
          </w:tcPr>
          <w:p w14:paraId="0DAA8F15"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Electronic Health Record</w:t>
            </w:r>
          </w:p>
        </w:tc>
        <w:tc>
          <w:tcPr>
            <w:tcW w:w="1853" w:type="dxa"/>
            <w:tcBorders>
              <w:top w:val="nil"/>
              <w:left w:val="nil"/>
              <w:bottom w:val="single" w:sz="4" w:space="0" w:color="auto"/>
              <w:right w:val="single" w:sz="4" w:space="0" w:color="auto"/>
            </w:tcBorders>
            <w:shd w:val="clear" w:color="auto" w:fill="auto"/>
            <w:vAlign w:val="center"/>
            <w:hideMark/>
          </w:tcPr>
          <w:p w14:paraId="633FC3F0"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80% of SMPP had birth control methods documented.</w:t>
            </w:r>
          </w:p>
        </w:tc>
        <w:tc>
          <w:tcPr>
            <w:tcW w:w="1932" w:type="dxa"/>
            <w:tcBorders>
              <w:top w:val="nil"/>
              <w:left w:val="nil"/>
              <w:bottom w:val="single" w:sz="4" w:space="0" w:color="auto"/>
              <w:right w:val="single" w:sz="4" w:space="0" w:color="auto"/>
            </w:tcBorders>
            <w:shd w:val="clear" w:color="auto" w:fill="auto"/>
            <w:vAlign w:val="center"/>
            <w:hideMark/>
          </w:tcPr>
          <w:p w14:paraId="204CA794" w14:textId="12E48277" w:rsidR="006906CB" w:rsidRPr="00D367CA" w:rsidRDefault="00D367CA" w:rsidP="002D50B8">
            <w:pPr>
              <w:rPr>
                <w:rFonts w:asciiTheme="minorHAnsi" w:hAnsiTheme="minorHAnsi" w:cstheme="minorHAnsi"/>
                <w:color w:val="000000"/>
                <w:sz w:val="16"/>
                <w:szCs w:val="16"/>
              </w:rPr>
            </w:pPr>
            <w:r w:rsidRPr="00D367CA">
              <w:rPr>
                <w:rFonts w:asciiTheme="minorHAnsi" w:hAnsiTheme="minorHAnsi" w:cstheme="minorHAnsi"/>
                <w:color w:val="000000"/>
                <w:sz w:val="16"/>
                <w:szCs w:val="16"/>
              </w:rPr>
              <w:t>63%</w:t>
            </w:r>
            <w:r w:rsidR="006906CB" w:rsidRPr="00D367CA">
              <w:rPr>
                <w:rFonts w:asciiTheme="minorHAnsi" w:hAnsiTheme="minorHAnsi" w:cstheme="minorHAnsi"/>
                <w:color w:val="000000"/>
                <w:sz w:val="16"/>
                <w:szCs w:val="16"/>
              </w:rPr>
              <w:t xml:space="preserve"> of SMPP had birth control methods documented.</w:t>
            </w:r>
          </w:p>
        </w:tc>
      </w:tr>
      <w:tr w:rsidR="00837838" w14:paraId="3986C4AC" w14:textId="77777777" w:rsidTr="00837838">
        <w:trPr>
          <w:trHeight w:val="797"/>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14:paraId="34A42A07"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2</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14:paraId="18ED1A86" w14:textId="7777777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Improve access to case management and mental health at Olympic High School</w:t>
            </w:r>
          </w:p>
        </w:tc>
        <w:tc>
          <w:tcPr>
            <w:tcW w:w="898" w:type="dxa"/>
            <w:tcBorders>
              <w:top w:val="nil"/>
              <w:left w:val="nil"/>
              <w:bottom w:val="single" w:sz="4" w:space="0" w:color="auto"/>
              <w:right w:val="single" w:sz="4" w:space="0" w:color="auto"/>
            </w:tcBorders>
            <w:shd w:val="clear" w:color="auto" w:fill="auto"/>
            <w:vAlign w:val="center"/>
            <w:hideMark/>
          </w:tcPr>
          <w:p w14:paraId="5B1F4133"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Output </w:t>
            </w:r>
          </w:p>
        </w:tc>
        <w:tc>
          <w:tcPr>
            <w:tcW w:w="2790" w:type="dxa"/>
            <w:tcBorders>
              <w:top w:val="nil"/>
              <w:left w:val="nil"/>
              <w:bottom w:val="single" w:sz="4" w:space="0" w:color="auto"/>
              <w:right w:val="single" w:sz="4" w:space="0" w:color="auto"/>
            </w:tcBorders>
            <w:shd w:val="clear" w:color="auto" w:fill="auto"/>
            <w:vAlign w:val="center"/>
            <w:hideMark/>
          </w:tcPr>
          <w:p w14:paraId="5915160C"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Participants receive case management and mental health services f</w:t>
            </w:r>
            <w:r w:rsidRPr="006906CB">
              <w:rPr>
                <w:rFonts w:asciiTheme="minorHAnsi" w:hAnsiTheme="minorHAnsi" w:cstheme="minorHAnsi"/>
                <w:color w:val="000000"/>
                <w:sz w:val="16"/>
                <w:szCs w:val="16"/>
              </w:rPr>
              <w:t xml:space="preserve">rom Illuminating SOL Therapy </w:t>
            </w:r>
          </w:p>
        </w:tc>
        <w:tc>
          <w:tcPr>
            <w:tcW w:w="3600" w:type="dxa"/>
            <w:tcBorders>
              <w:top w:val="nil"/>
              <w:left w:val="nil"/>
              <w:bottom w:val="single" w:sz="4" w:space="0" w:color="auto"/>
              <w:right w:val="single" w:sz="4" w:space="0" w:color="auto"/>
            </w:tcBorders>
            <w:shd w:val="clear" w:color="auto" w:fill="auto"/>
            <w:vAlign w:val="center"/>
            <w:hideMark/>
          </w:tcPr>
          <w:p w14:paraId="18FBA001" w14:textId="6067B524"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10 </w:t>
            </w:r>
            <w:r w:rsidRPr="006906CB">
              <w:rPr>
                <w:rFonts w:asciiTheme="minorHAnsi" w:hAnsiTheme="minorHAnsi" w:cstheme="minorHAnsi"/>
                <w:color w:val="000000"/>
                <w:sz w:val="16"/>
                <w:szCs w:val="16"/>
              </w:rPr>
              <w:t>students</w:t>
            </w:r>
            <w:r w:rsidR="000419E5">
              <w:rPr>
                <w:rFonts w:asciiTheme="minorHAnsi" w:hAnsiTheme="minorHAnsi" w:cstheme="minorHAnsi"/>
                <w:color w:val="000000"/>
                <w:sz w:val="16"/>
                <w:szCs w:val="16"/>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8361172" w14:textId="757CB03C"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Case records; Youth Outcomes Questionnaire</w:t>
            </w:r>
            <w:r w:rsidR="000419E5">
              <w:rPr>
                <w:rFonts w:asciiTheme="minorHAnsi" w:hAnsiTheme="minorHAnsi" w:cstheme="minorHAnsi"/>
                <w:color w:val="222222"/>
                <w:sz w:val="16"/>
                <w:szCs w:val="16"/>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1D47F60B" w14:textId="0DDA0CD7"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0</w:t>
            </w:r>
            <w:r w:rsidR="00BF7B7E">
              <w:rPr>
                <w:rFonts w:asciiTheme="minorHAnsi" w:hAnsiTheme="minorHAnsi" w:cstheme="minorHAnsi"/>
                <w:color w:val="000000"/>
                <w:sz w:val="16"/>
                <w:szCs w:val="16"/>
              </w:rPr>
              <w:t xml:space="preserve"> students</w:t>
            </w:r>
          </w:p>
        </w:tc>
        <w:tc>
          <w:tcPr>
            <w:tcW w:w="1932" w:type="dxa"/>
            <w:tcBorders>
              <w:top w:val="nil"/>
              <w:left w:val="nil"/>
              <w:bottom w:val="single" w:sz="4" w:space="0" w:color="auto"/>
              <w:right w:val="single" w:sz="4" w:space="0" w:color="auto"/>
            </w:tcBorders>
            <w:shd w:val="clear" w:color="auto" w:fill="auto"/>
            <w:vAlign w:val="center"/>
            <w:hideMark/>
          </w:tcPr>
          <w:p w14:paraId="6CB6BD3D" w14:textId="345D9703"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10</w:t>
            </w:r>
            <w:r w:rsidR="00BE6920">
              <w:rPr>
                <w:rFonts w:asciiTheme="minorHAnsi" w:hAnsiTheme="minorHAnsi" w:cstheme="minorHAnsi"/>
                <w:color w:val="222222"/>
                <w:sz w:val="16"/>
                <w:szCs w:val="16"/>
              </w:rPr>
              <w:t xml:space="preserve"> students</w:t>
            </w:r>
          </w:p>
        </w:tc>
      </w:tr>
      <w:tr w:rsidR="00837838" w14:paraId="08054E04" w14:textId="77777777" w:rsidTr="00837838">
        <w:trPr>
          <w:trHeight w:val="288"/>
        </w:trPr>
        <w:tc>
          <w:tcPr>
            <w:tcW w:w="445" w:type="dxa"/>
            <w:vMerge/>
            <w:tcBorders>
              <w:top w:val="nil"/>
              <w:left w:val="single" w:sz="4" w:space="0" w:color="auto"/>
              <w:bottom w:val="single" w:sz="4" w:space="0" w:color="000000"/>
              <w:right w:val="single" w:sz="4" w:space="0" w:color="auto"/>
            </w:tcBorders>
            <w:vAlign w:val="center"/>
            <w:hideMark/>
          </w:tcPr>
          <w:p w14:paraId="0233C98A"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000000"/>
              <w:right w:val="single" w:sz="4" w:space="0" w:color="auto"/>
            </w:tcBorders>
            <w:vAlign w:val="center"/>
            <w:hideMark/>
          </w:tcPr>
          <w:p w14:paraId="17C75873"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5598F8CA"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Outcome</w:t>
            </w:r>
          </w:p>
        </w:tc>
        <w:tc>
          <w:tcPr>
            <w:tcW w:w="2790" w:type="dxa"/>
            <w:tcBorders>
              <w:top w:val="nil"/>
              <w:left w:val="nil"/>
              <w:bottom w:val="single" w:sz="4" w:space="0" w:color="auto"/>
              <w:right w:val="single" w:sz="4" w:space="0" w:color="auto"/>
            </w:tcBorders>
            <w:shd w:val="clear" w:color="auto" w:fill="auto"/>
            <w:vAlign w:val="center"/>
            <w:hideMark/>
          </w:tcPr>
          <w:p w14:paraId="688D3306"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Participants are provided mental health support and see improvement on their identified need. </w:t>
            </w:r>
          </w:p>
        </w:tc>
        <w:tc>
          <w:tcPr>
            <w:tcW w:w="3600" w:type="dxa"/>
            <w:tcBorders>
              <w:top w:val="nil"/>
              <w:left w:val="nil"/>
              <w:bottom w:val="single" w:sz="4" w:space="0" w:color="auto"/>
              <w:right w:val="single" w:sz="4" w:space="0" w:color="auto"/>
            </w:tcBorders>
            <w:shd w:val="clear" w:color="auto" w:fill="auto"/>
            <w:vAlign w:val="center"/>
            <w:hideMark/>
          </w:tcPr>
          <w:p w14:paraId="0BEB5EA0" w14:textId="51F62EC9"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100% of students with unmet identified mental health need will receive one on one support from LCSW provider by meeting on a minimum of once every two weeks and will display improvement specific to the identified need(s) as measured by the Youth Outcomes Questionnaire.</w:t>
            </w:r>
            <w:r w:rsidR="000419E5">
              <w:rPr>
                <w:rFonts w:asciiTheme="minorHAnsi" w:hAnsiTheme="minorHAnsi" w:cstheme="minorHAnsi"/>
                <w:color w:val="222222"/>
                <w:sz w:val="16"/>
                <w:szCs w:val="16"/>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F99D3C0"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Case Records; Youth Outcomes Questionnaire </w:t>
            </w:r>
          </w:p>
        </w:tc>
        <w:tc>
          <w:tcPr>
            <w:tcW w:w="1853" w:type="dxa"/>
            <w:tcBorders>
              <w:top w:val="nil"/>
              <w:left w:val="nil"/>
              <w:bottom w:val="single" w:sz="4" w:space="0" w:color="auto"/>
              <w:right w:val="single" w:sz="4" w:space="0" w:color="auto"/>
            </w:tcBorders>
            <w:shd w:val="clear" w:color="auto" w:fill="auto"/>
            <w:noWrap/>
            <w:vAlign w:val="center"/>
            <w:hideMark/>
          </w:tcPr>
          <w:p w14:paraId="2B5D4C5C" w14:textId="71E285EA"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0</w:t>
            </w:r>
            <w:r w:rsidR="00BF7B7E">
              <w:rPr>
                <w:rFonts w:asciiTheme="minorHAnsi" w:hAnsiTheme="minorHAnsi" w:cstheme="minorHAnsi"/>
                <w:color w:val="000000"/>
                <w:sz w:val="16"/>
                <w:szCs w:val="16"/>
              </w:rPr>
              <w:t>%</w:t>
            </w:r>
          </w:p>
        </w:tc>
        <w:tc>
          <w:tcPr>
            <w:tcW w:w="1932" w:type="dxa"/>
            <w:tcBorders>
              <w:top w:val="nil"/>
              <w:left w:val="nil"/>
              <w:bottom w:val="single" w:sz="4" w:space="0" w:color="auto"/>
              <w:right w:val="single" w:sz="4" w:space="0" w:color="auto"/>
            </w:tcBorders>
            <w:shd w:val="clear" w:color="auto" w:fill="auto"/>
            <w:vAlign w:val="center"/>
            <w:hideMark/>
          </w:tcPr>
          <w:p w14:paraId="35473692" w14:textId="7B494B46"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0</w:t>
            </w:r>
            <w:r w:rsidR="00BF7B7E">
              <w:rPr>
                <w:rFonts w:asciiTheme="minorHAnsi" w:hAnsiTheme="minorHAnsi" w:cstheme="minorHAnsi"/>
                <w:color w:val="222222"/>
                <w:sz w:val="16"/>
                <w:szCs w:val="16"/>
              </w:rPr>
              <w:t>%</w:t>
            </w:r>
          </w:p>
        </w:tc>
      </w:tr>
      <w:tr w:rsidR="00837838" w14:paraId="096C819C" w14:textId="77777777" w:rsidTr="00837838">
        <w:trPr>
          <w:trHeight w:val="698"/>
        </w:trPr>
        <w:tc>
          <w:tcPr>
            <w:tcW w:w="445" w:type="dxa"/>
            <w:vMerge/>
            <w:tcBorders>
              <w:top w:val="nil"/>
              <w:left w:val="single" w:sz="4" w:space="0" w:color="auto"/>
              <w:bottom w:val="single" w:sz="4" w:space="0" w:color="000000"/>
              <w:right w:val="single" w:sz="4" w:space="0" w:color="auto"/>
            </w:tcBorders>
            <w:vAlign w:val="center"/>
            <w:hideMark/>
          </w:tcPr>
          <w:p w14:paraId="4E8EB429"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000000"/>
              <w:right w:val="single" w:sz="4" w:space="0" w:color="auto"/>
            </w:tcBorders>
            <w:vAlign w:val="center"/>
            <w:hideMark/>
          </w:tcPr>
          <w:p w14:paraId="53A27863"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1AF15299"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Outcome </w:t>
            </w:r>
          </w:p>
        </w:tc>
        <w:tc>
          <w:tcPr>
            <w:tcW w:w="2790" w:type="dxa"/>
            <w:tcBorders>
              <w:top w:val="nil"/>
              <w:left w:val="nil"/>
              <w:bottom w:val="single" w:sz="4" w:space="0" w:color="auto"/>
              <w:right w:val="single" w:sz="4" w:space="0" w:color="auto"/>
            </w:tcBorders>
            <w:shd w:val="clear" w:color="auto" w:fill="auto"/>
            <w:vAlign w:val="center"/>
            <w:hideMark/>
          </w:tcPr>
          <w:p w14:paraId="36FA68E3"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Participants referred to Mental Health services will receive </w:t>
            </w:r>
            <w:proofErr w:type="spellStart"/>
            <w:r w:rsidRPr="006906CB">
              <w:rPr>
                <w:rFonts w:asciiTheme="minorHAnsi" w:hAnsiTheme="minorHAnsi" w:cstheme="minorHAnsi"/>
                <w:color w:val="222222"/>
                <w:sz w:val="16"/>
                <w:szCs w:val="16"/>
              </w:rPr>
              <w:t>biopsychosocials</w:t>
            </w:r>
            <w:proofErr w:type="spellEnd"/>
          </w:p>
        </w:tc>
        <w:tc>
          <w:tcPr>
            <w:tcW w:w="3600" w:type="dxa"/>
            <w:tcBorders>
              <w:top w:val="nil"/>
              <w:left w:val="nil"/>
              <w:bottom w:val="single" w:sz="4" w:space="0" w:color="auto"/>
              <w:right w:val="single" w:sz="4" w:space="0" w:color="auto"/>
            </w:tcBorders>
            <w:shd w:val="clear" w:color="auto" w:fill="auto"/>
            <w:vAlign w:val="center"/>
            <w:hideMark/>
          </w:tcPr>
          <w:p w14:paraId="3F9693DF"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75% will have completed </w:t>
            </w:r>
            <w:proofErr w:type="spellStart"/>
            <w:r w:rsidRPr="006906CB">
              <w:rPr>
                <w:rFonts w:asciiTheme="minorHAnsi" w:hAnsiTheme="minorHAnsi" w:cstheme="minorHAnsi"/>
                <w:color w:val="222222"/>
                <w:sz w:val="16"/>
                <w:szCs w:val="16"/>
              </w:rPr>
              <w:t>biopsychosocials</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0EB3AFD3"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Case records</w:t>
            </w:r>
          </w:p>
        </w:tc>
        <w:tc>
          <w:tcPr>
            <w:tcW w:w="1853" w:type="dxa"/>
            <w:tcBorders>
              <w:top w:val="nil"/>
              <w:left w:val="nil"/>
              <w:bottom w:val="single" w:sz="4" w:space="0" w:color="auto"/>
              <w:right w:val="single" w:sz="4" w:space="0" w:color="auto"/>
            </w:tcBorders>
            <w:shd w:val="clear" w:color="auto" w:fill="auto"/>
            <w:noWrap/>
            <w:vAlign w:val="center"/>
            <w:hideMark/>
          </w:tcPr>
          <w:p w14:paraId="1E6CF504" w14:textId="257469D4" w:rsidR="006906CB" w:rsidRPr="006906CB" w:rsidRDefault="006906CB" w:rsidP="002D50B8">
            <w:pPr>
              <w:rPr>
                <w:rFonts w:asciiTheme="minorHAnsi" w:hAnsiTheme="minorHAnsi" w:cstheme="minorHAnsi"/>
                <w:color w:val="000000"/>
                <w:sz w:val="16"/>
                <w:szCs w:val="16"/>
              </w:rPr>
            </w:pPr>
            <w:r w:rsidRPr="006906CB">
              <w:rPr>
                <w:rFonts w:asciiTheme="minorHAnsi" w:hAnsiTheme="minorHAnsi" w:cstheme="minorHAnsi"/>
                <w:color w:val="000000"/>
                <w:sz w:val="16"/>
                <w:szCs w:val="16"/>
              </w:rPr>
              <w:t>0</w:t>
            </w:r>
            <w:r w:rsidR="00BF7B7E">
              <w:rPr>
                <w:rFonts w:asciiTheme="minorHAnsi" w:hAnsiTheme="minorHAnsi" w:cstheme="minorHAnsi"/>
                <w:color w:val="000000"/>
                <w:sz w:val="16"/>
                <w:szCs w:val="16"/>
              </w:rPr>
              <w:t>%</w:t>
            </w:r>
          </w:p>
        </w:tc>
        <w:tc>
          <w:tcPr>
            <w:tcW w:w="1932" w:type="dxa"/>
            <w:tcBorders>
              <w:top w:val="nil"/>
              <w:left w:val="nil"/>
              <w:bottom w:val="single" w:sz="4" w:space="0" w:color="auto"/>
              <w:right w:val="single" w:sz="4" w:space="0" w:color="auto"/>
            </w:tcBorders>
            <w:shd w:val="clear" w:color="auto" w:fill="auto"/>
            <w:vAlign w:val="center"/>
            <w:hideMark/>
          </w:tcPr>
          <w:p w14:paraId="5500593E" w14:textId="120CC1FF"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0</w:t>
            </w:r>
            <w:r w:rsidR="00BF7B7E">
              <w:rPr>
                <w:rFonts w:asciiTheme="minorHAnsi" w:hAnsiTheme="minorHAnsi" w:cstheme="minorHAnsi"/>
                <w:color w:val="222222"/>
                <w:sz w:val="16"/>
                <w:szCs w:val="16"/>
              </w:rPr>
              <w:t>%</w:t>
            </w:r>
          </w:p>
        </w:tc>
      </w:tr>
      <w:tr w:rsidR="00837838" w14:paraId="789C156B" w14:textId="77777777" w:rsidTr="00837838">
        <w:trPr>
          <w:trHeight w:val="1166"/>
        </w:trPr>
        <w:tc>
          <w:tcPr>
            <w:tcW w:w="445" w:type="dxa"/>
            <w:vMerge/>
            <w:tcBorders>
              <w:top w:val="nil"/>
              <w:left w:val="single" w:sz="4" w:space="0" w:color="auto"/>
              <w:bottom w:val="single" w:sz="4" w:space="0" w:color="000000"/>
              <w:right w:val="single" w:sz="4" w:space="0" w:color="auto"/>
            </w:tcBorders>
            <w:vAlign w:val="center"/>
            <w:hideMark/>
          </w:tcPr>
          <w:p w14:paraId="22B4E83C"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000000"/>
              <w:right w:val="single" w:sz="4" w:space="0" w:color="auto"/>
            </w:tcBorders>
            <w:vAlign w:val="center"/>
            <w:hideMark/>
          </w:tcPr>
          <w:p w14:paraId="113DFFDF"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128DB8B9"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Outcome </w:t>
            </w:r>
          </w:p>
        </w:tc>
        <w:tc>
          <w:tcPr>
            <w:tcW w:w="2790" w:type="dxa"/>
            <w:tcBorders>
              <w:top w:val="nil"/>
              <w:left w:val="nil"/>
              <w:bottom w:val="single" w:sz="4" w:space="0" w:color="auto"/>
              <w:right w:val="single" w:sz="4" w:space="0" w:color="auto"/>
            </w:tcBorders>
            <w:shd w:val="clear" w:color="auto" w:fill="auto"/>
            <w:vAlign w:val="center"/>
            <w:hideMark/>
          </w:tcPr>
          <w:p w14:paraId="61F45936"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Participants referred for case management services will be linked, connected, given warm hand-offs to community resources, services, programs, or other supportive services.</w:t>
            </w:r>
          </w:p>
        </w:tc>
        <w:tc>
          <w:tcPr>
            <w:tcW w:w="3600" w:type="dxa"/>
            <w:tcBorders>
              <w:top w:val="nil"/>
              <w:left w:val="nil"/>
              <w:bottom w:val="single" w:sz="4" w:space="0" w:color="auto"/>
              <w:right w:val="single" w:sz="4" w:space="0" w:color="auto"/>
            </w:tcBorders>
            <w:shd w:val="clear" w:color="auto" w:fill="auto"/>
            <w:vAlign w:val="center"/>
            <w:hideMark/>
          </w:tcPr>
          <w:p w14:paraId="760F5BCF"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75% of students serviced will be linked to at least one program, service, community resource and/or supportive service.</w:t>
            </w:r>
          </w:p>
        </w:tc>
        <w:tc>
          <w:tcPr>
            <w:tcW w:w="1440" w:type="dxa"/>
            <w:tcBorders>
              <w:top w:val="nil"/>
              <w:left w:val="nil"/>
              <w:bottom w:val="single" w:sz="4" w:space="0" w:color="auto"/>
              <w:right w:val="single" w:sz="4" w:space="0" w:color="auto"/>
            </w:tcBorders>
            <w:shd w:val="clear" w:color="auto" w:fill="auto"/>
            <w:vAlign w:val="center"/>
            <w:hideMark/>
          </w:tcPr>
          <w:p w14:paraId="46420351"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Case records </w:t>
            </w:r>
          </w:p>
        </w:tc>
        <w:tc>
          <w:tcPr>
            <w:tcW w:w="1853" w:type="dxa"/>
            <w:tcBorders>
              <w:top w:val="nil"/>
              <w:left w:val="nil"/>
              <w:bottom w:val="single" w:sz="4" w:space="0" w:color="auto"/>
              <w:right w:val="single" w:sz="4" w:space="0" w:color="auto"/>
            </w:tcBorders>
            <w:shd w:val="clear" w:color="auto" w:fill="auto"/>
            <w:noWrap/>
            <w:vAlign w:val="center"/>
            <w:hideMark/>
          </w:tcPr>
          <w:p w14:paraId="6D8622A6" w14:textId="0638ED66" w:rsidR="006906CB" w:rsidRPr="006906CB" w:rsidRDefault="00C1206A" w:rsidP="002D50B8">
            <w:pPr>
              <w:rPr>
                <w:rFonts w:asciiTheme="minorHAnsi" w:hAnsiTheme="minorHAnsi" w:cstheme="minorHAnsi"/>
                <w:color w:val="000000"/>
                <w:sz w:val="16"/>
                <w:szCs w:val="16"/>
              </w:rPr>
            </w:pPr>
            <w:r>
              <w:rPr>
                <w:rFonts w:asciiTheme="minorHAnsi" w:hAnsiTheme="minorHAnsi" w:cstheme="minorHAnsi"/>
                <w:color w:val="000000"/>
                <w:sz w:val="16"/>
                <w:szCs w:val="16"/>
              </w:rPr>
              <w:t>0 students (</w:t>
            </w:r>
            <w:r w:rsidR="006906CB" w:rsidRPr="006906CB">
              <w:rPr>
                <w:rFonts w:asciiTheme="minorHAnsi" w:hAnsiTheme="minorHAnsi" w:cstheme="minorHAnsi"/>
                <w:color w:val="000000"/>
                <w:sz w:val="16"/>
                <w:szCs w:val="16"/>
              </w:rPr>
              <w:t>0</w:t>
            </w:r>
            <w:r w:rsidR="00BF7B7E">
              <w:rPr>
                <w:rFonts w:asciiTheme="minorHAnsi" w:hAnsiTheme="minorHAnsi" w:cstheme="minorHAnsi"/>
                <w:color w:val="000000"/>
                <w:sz w:val="16"/>
                <w:szCs w:val="16"/>
              </w:rPr>
              <w:t>%</w:t>
            </w:r>
            <w:r>
              <w:rPr>
                <w:rFonts w:asciiTheme="minorHAnsi" w:hAnsiTheme="minorHAnsi" w:cstheme="minorHAnsi"/>
                <w:color w:val="000000"/>
                <w:sz w:val="16"/>
                <w:szCs w:val="16"/>
              </w:rPr>
              <w:t>) were linked to at least one program.</w:t>
            </w:r>
          </w:p>
        </w:tc>
        <w:tc>
          <w:tcPr>
            <w:tcW w:w="1932" w:type="dxa"/>
            <w:tcBorders>
              <w:top w:val="nil"/>
              <w:left w:val="nil"/>
              <w:bottom w:val="single" w:sz="4" w:space="0" w:color="auto"/>
              <w:right w:val="single" w:sz="4" w:space="0" w:color="auto"/>
            </w:tcBorders>
            <w:shd w:val="clear" w:color="auto" w:fill="auto"/>
            <w:vAlign w:val="center"/>
            <w:hideMark/>
          </w:tcPr>
          <w:p w14:paraId="4DEC2D8B" w14:textId="636B2C2D"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10</w:t>
            </w:r>
            <w:r w:rsidR="00BF7B7E">
              <w:rPr>
                <w:rFonts w:asciiTheme="minorHAnsi" w:hAnsiTheme="minorHAnsi" w:cstheme="minorHAnsi"/>
                <w:color w:val="222222"/>
                <w:sz w:val="16"/>
                <w:szCs w:val="16"/>
              </w:rPr>
              <w:t xml:space="preserve"> students (100%) were linked to at least one program.</w:t>
            </w:r>
          </w:p>
        </w:tc>
      </w:tr>
      <w:tr w:rsidR="00837838" w14:paraId="19648864" w14:textId="77777777" w:rsidTr="00837838">
        <w:trPr>
          <w:trHeight w:val="617"/>
        </w:trPr>
        <w:tc>
          <w:tcPr>
            <w:tcW w:w="445" w:type="dxa"/>
            <w:vMerge/>
            <w:tcBorders>
              <w:top w:val="nil"/>
              <w:left w:val="single" w:sz="4" w:space="0" w:color="auto"/>
              <w:bottom w:val="single" w:sz="4" w:space="0" w:color="000000"/>
              <w:right w:val="single" w:sz="4" w:space="0" w:color="auto"/>
            </w:tcBorders>
            <w:vAlign w:val="center"/>
            <w:hideMark/>
          </w:tcPr>
          <w:p w14:paraId="16EEA79B" w14:textId="77777777" w:rsidR="006906CB" w:rsidRPr="006906CB" w:rsidRDefault="006906CB" w:rsidP="002D50B8">
            <w:pPr>
              <w:rPr>
                <w:rFonts w:asciiTheme="minorHAnsi" w:hAnsiTheme="minorHAnsi" w:cstheme="minorHAnsi"/>
                <w:color w:val="000000"/>
                <w:sz w:val="16"/>
                <w:szCs w:val="16"/>
              </w:rPr>
            </w:pPr>
          </w:p>
        </w:tc>
        <w:tc>
          <w:tcPr>
            <w:tcW w:w="1172" w:type="dxa"/>
            <w:vMerge/>
            <w:tcBorders>
              <w:top w:val="nil"/>
              <w:left w:val="single" w:sz="4" w:space="0" w:color="auto"/>
              <w:bottom w:val="single" w:sz="4" w:space="0" w:color="000000"/>
              <w:right w:val="single" w:sz="4" w:space="0" w:color="auto"/>
            </w:tcBorders>
            <w:vAlign w:val="center"/>
            <w:hideMark/>
          </w:tcPr>
          <w:p w14:paraId="5CA090FE" w14:textId="77777777" w:rsidR="006906CB" w:rsidRPr="006906CB" w:rsidRDefault="006906CB" w:rsidP="002D50B8">
            <w:pPr>
              <w:rPr>
                <w:rFonts w:asciiTheme="minorHAnsi" w:hAnsiTheme="minorHAnsi" w:cstheme="minorHAnsi"/>
                <w:color w:val="000000"/>
                <w:sz w:val="16"/>
                <w:szCs w:val="16"/>
              </w:rPr>
            </w:pPr>
          </w:p>
        </w:tc>
        <w:tc>
          <w:tcPr>
            <w:tcW w:w="898" w:type="dxa"/>
            <w:tcBorders>
              <w:top w:val="nil"/>
              <w:left w:val="nil"/>
              <w:bottom w:val="single" w:sz="4" w:space="0" w:color="auto"/>
              <w:right w:val="single" w:sz="4" w:space="0" w:color="auto"/>
            </w:tcBorders>
            <w:shd w:val="clear" w:color="auto" w:fill="auto"/>
            <w:vAlign w:val="center"/>
            <w:hideMark/>
          </w:tcPr>
          <w:p w14:paraId="16E73625"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Outcome </w:t>
            </w:r>
          </w:p>
        </w:tc>
        <w:tc>
          <w:tcPr>
            <w:tcW w:w="2790" w:type="dxa"/>
            <w:tcBorders>
              <w:top w:val="nil"/>
              <w:left w:val="nil"/>
              <w:bottom w:val="single" w:sz="4" w:space="0" w:color="auto"/>
              <w:right w:val="single" w:sz="4" w:space="0" w:color="auto"/>
            </w:tcBorders>
            <w:shd w:val="clear" w:color="auto" w:fill="auto"/>
            <w:vAlign w:val="center"/>
            <w:hideMark/>
          </w:tcPr>
          <w:p w14:paraId="3F14E310"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Conduct home visits to participants </w:t>
            </w:r>
          </w:p>
        </w:tc>
        <w:tc>
          <w:tcPr>
            <w:tcW w:w="3600" w:type="dxa"/>
            <w:tcBorders>
              <w:top w:val="nil"/>
              <w:left w:val="nil"/>
              <w:bottom w:val="single" w:sz="4" w:space="0" w:color="auto"/>
              <w:right w:val="single" w:sz="4" w:space="0" w:color="auto"/>
            </w:tcBorders>
            <w:shd w:val="clear" w:color="auto" w:fill="auto"/>
            <w:vAlign w:val="center"/>
            <w:hideMark/>
          </w:tcPr>
          <w:p w14:paraId="1F57AA71"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 xml:space="preserve">60% of participants receiving case management services will have at least 1 home visit. </w:t>
            </w:r>
          </w:p>
        </w:tc>
        <w:tc>
          <w:tcPr>
            <w:tcW w:w="1440" w:type="dxa"/>
            <w:tcBorders>
              <w:top w:val="nil"/>
              <w:left w:val="nil"/>
              <w:bottom w:val="single" w:sz="4" w:space="0" w:color="auto"/>
              <w:right w:val="single" w:sz="4" w:space="0" w:color="auto"/>
            </w:tcBorders>
            <w:shd w:val="clear" w:color="auto" w:fill="auto"/>
            <w:vAlign w:val="center"/>
            <w:hideMark/>
          </w:tcPr>
          <w:p w14:paraId="01326B6D" w14:textId="77777777"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Case records</w:t>
            </w:r>
          </w:p>
        </w:tc>
        <w:tc>
          <w:tcPr>
            <w:tcW w:w="1853" w:type="dxa"/>
            <w:tcBorders>
              <w:top w:val="nil"/>
              <w:left w:val="nil"/>
              <w:bottom w:val="single" w:sz="4" w:space="0" w:color="auto"/>
              <w:right w:val="single" w:sz="4" w:space="0" w:color="auto"/>
            </w:tcBorders>
            <w:shd w:val="clear" w:color="auto" w:fill="auto"/>
            <w:noWrap/>
            <w:vAlign w:val="center"/>
            <w:hideMark/>
          </w:tcPr>
          <w:p w14:paraId="064FD4D2" w14:textId="4719B473" w:rsidR="006906CB" w:rsidRPr="006906CB" w:rsidRDefault="00C1206A" w:rsidP="002D50B8">
            <w:pPr>
              <w:rPr>
                <w:rFonts w:asciiTheme="minorHAnsi" w:hAnsiTheme="minorHAnsi" w:cstheme="minorHAnsi"/>
                <w:color w:val="000000"/>
                <w:sz w:val="16"/>
                <w:szCs w:val="16"/>
              </w:rPr>
            </w:pPr>
            <w:r>
              <w:rPr>
                <w:rFonts w:asciiTheme="minorHAnsi" w:hAnsiTheme="minorHAnsi" w:cstheme="minorHAnsi"/>
                <w:color w:val="000000"/>
                <w:sz w:val="16"/>
                <w:szCs w:val="16"/>
              </w:rPr>
              <w:t>0 students (</w:t>
            </w:r>
            <w:r w:rsidR="006906CB" w:rsidRPr="006906CB">
              <w:rPr>
                <w:rFonts w:asciiTheme="minorHAnsi" w:hAnsiTheme="minorHAnsi" w:cstheme="minorHAnsi"/>
                <w:color w:val="000000"/>
                <w:sz w:val="16"/>
                <w:szCs w:val="16"/>
              </w:rPr>
              <w:t>0</w:t>
            </w:r>
            <w:r w:rsidR="00A827D6">
              <w:rPr>
                <w:rFonts w:asciiTheme="minorHAnsi" w:hAnsiTheme="minorHAnsi" w:cstheme="minorHAnsi"/>
                <w:color w:val="000000"/>
                <w:sz w:val="16"/>
                <w:szCs w:val="16"/>
              </w:rPr>
              <w:t>%</w:t>
            </w:r>
            <w:r>
              <w:rPr>
                <w:rFonts w:asciiTheme="minorHAnsi" w:hAnsiTheme="minorHAnsi" w:cstheme="minorHAnsi"/>
                <w:color w:val="000000"/>
                <w:sz w:val="16"/>
                <w:szCs w:val="16"/>
              </w:rPr>
              <w:t>) had at least 1 home visit.</w:t>
            </w:r>
          </w:p>
        </w:tc>
        <w:tc>
          <w:tcPr>
            <w:tcW w:w="1932" w:type="dxa"/>
            <w:tcBorders>
              <w:top w:val="nil"/>
              <w:left w:val="nil"/>
              <w:bottom w:val="single" w:sz="4" w:space="0" w:color="auto"/>
              <w:right w:val="single" w:sz="4" w:space="0" w:color="auto"/>
            </w:tcBorders>
            <w:shd w:val="clear" w:color="auto" w:fill="auto"/>
            <w:vAlign w:val="center"/>
            <w:hideMark/>
          </w:tcPr>
          <w:p w14:paraId="3FA433D0" w14:textId="6B85D528" w:rsidR="006906CB" w:rsidRPr="006906CB" w:rsidRDefault="006906CB" w:rsidP="002D50B8">
            <w:pPr>
              <w:rPr>
                <w:rFonts w:asciiTheme="minorHAnsi" w:hAnsiTheme="minorHAnsi" w:cstheme="minorHAnsi"/>
                <w:color w:val="222222"/>
                <w:sz w:val="16"/>
                <w:szCs w:val="16"/>
              </w:rPr>
            </w:pPr>
            <w:r w:rsidRPr="006906CB">
              <w:rPr>
                <w:rFonts w:asciiTheme="minorHAnsi" w:hAnsiTheme="minorHAnsi" w:cstheme="minorHAnsi"/>
                <w:color w:val="222222"/>
                <w:sz w:val="16"/>
                <w:szCs w:val="16"/>
              </w:rPr>
              <w:t>1</w:t>
            </w:r>
            <w:r w:rsidR="00BF7B7E">
              <w:rPr>
                <w:rFonts w:asciiTheme="minorHAnsi" w:hAnsiTheme="minorHAnsi" w:cstheme="minorHAnsi"/>
                <w:color w:val="222222"/>
                <w:sz w:val="16"/>
                <w:szCs w:val="16"/>
              </w:rPr>
              <w:t xml:space="preserve"> student (10%) had at least 1 home visit.</w:t>
            </w:r>
          </w:p>
        </w:tc>
      </w:tr>
    </w:tbl>
    <w:p w14:paraId="158BFEAB" w14:textId="226C9B0B" w:rsidR="00B10B84" w:rsidRPr="00BF7E36" w:rsidRDefault="00B10B84"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F33893">
          <w:headerReference w:type="even" r:id="rId15"/>
          <w:headerReference w:type="default" r:id="rId16"/>
          <w:headerReference w:type="first" r:id="rId17"/>
          <w:endnotePr>
            <w:numFmt w:val="decimal"/>
          </w:endnotePr>
          <w:pgSz w:w="15840" w:h="12240" w:orient="landscape"/>
          <w:pgMar w:top="1080" w:right="1080" w:bottom="1080" w:left="1080" w:header="1080" w:footer="1080" w:gutter="0"/>
          <w:cols w:space="720"/>
          <w:noEndnote/>
          <w:docGrid w:linePitch="272"/>
        </w:sectPr>
      </w:pPr>
    </w:p>
    <w:p w14:paraId="36B5A151" w14:textId="77777777" w:rsidR="00BF7E36" w:rsidRPr="00507873" w:rsidRDefault="00F97372"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507873">
        <w:lastRenderedPageBreak/>
        <w:t xml:space="preserve">VARIANCE REPORT: </w:t>
      </w:r>
    </w:p>
    <w:p w14:paraId="70FA66EE" w14:textId="77777777" w:rsidR="006A4CFF" w:rsidRPr="00507873" w:rsidRDefault="006A4CFF"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479DE23" w14:textId="31621E05" w:rsidR="00120ED0" w:rsidRPr="00507873" w:rsidRDefault="00BF7E36"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507873">
        <w:rPr>
          <w:u w:val="none"/>
        </w:rPr>
        <w:t>Mid-y</w:t>
      </w:r>
      <w:r w:rsidR="00AB1E64" w:rsidRPr="00507873">
        <w:rPr>
          <w:u w:val="none"/>
        </w:rPr>
        <w:t>ear:</w:t>
      </w:r>
      <w:r w:rsidR="00AB1E64" w:rsidRPr="00507873">
        <w:rPr>
          <w:b w:val="0"/>
          <w:u w:val="none"/>
        </w:rPr>
        <w:t xml:space="preserve"> Please identify </w:t>
      </w:r>
      <w:r w:rsidR="004008FB" w:rsidRPr="00507873">
        <w:rPr>
          <w:b w:val="0"/>
          <w:u w:val="none"/>
        </w:rPr>
        <w:t>specific</w:t>
      </w:r>
      <w:r w:rsidR="00AB1E64" w:rsidRPr="00507873">
        <w:rPr>
          <w:b w:val="0"/>
          <w:u w:val="none"/>
        </w:rPr>
        <w:t xml:space="preserve"> </w:t>
      </w:r>
      <w:r w:rsidR="00BB4E27" w:rsidRPr="00507873">
        <w:rPr>
          <w:b w:val="0"/>
          <w:u w:val="none"/>
        </w:rPr>
        <w:t xml:space="preserve">outputs or </w:t>
      </w:r>
      <w:r w:rsidR="00AB1E64" w:rsidRPr="00507873">
        <w:rPr>
          <w:b w:val="0"/>
          <w:u w:val="none"/>
        </w:rPr>
        <w:t xml:space="preserve">outcomes </w:t>
      </w:r>
      <w:r w:rsidR="004008FB" w:rsidRPr="00507873">
        <w:rPr>
          <w:b w:val="0"/>
          <w:u w:val="none"/>
        </w:rPr>
        <w:t>not on track for being met by</w:t>
      </w:r>
      <w:r w:rsidR="006A4CFF" w:rsidRPr="00507873">
        <w:rPr>
          <w:b w:val="0"/>
          <w:u w:val="none"/>
        </w:rPr>
        <w:t xml:space="preserve"> year-end. </w:t>
      </w:r>
      <w:r w:rsidRPr="00507873">
        <w:rPr>
          <w:b w:val="0"/>
          <w:u w:val="none"/>
        </w:rPr>
        <w:t>Provide</w:t>
      </w:r>
      <w:r w:rsidR="00AB1E64" w:rsidRPr="00507873">
        <w:rPr>
          <w:b w:val="0"/>
          <w:u w:val="none"/>
        </w:rPr>
        <w:t xml:space="preserve"> an explanation o</w:t>
      </w:r>
      <w:r w:rsidRPr="00507873">
        <w:rPr>
          <w:b w:val="0"/>
          <w:u w:val="none"/>
        </w:rPr>
        <w:t>f</w:t>
      </w:r>
      <w:r w:rsidR="00AB1E64" w:rsidRPr="00507873">
        <w:rPr>
          <w:b w:val="0"/>
          <w:u w:val="none"/>
        </w:rPr>
        <w:t xml:space="preserve"> </w:t>
      </w:r>
      <w:r w:rsidRPr="00507873">
        <w:rPr>
          <w:b w:val="0"/>
          <w:u w:val="none"/>
        </w:rPr>
        <w:t>the</w:t>
      </w:r>
      <w:r w:rsidR="00AB1E64" w:rsidRPr="00507873">
        <w:rPr>
          <w:b w:val="0"/>
          <w:u w:val="none"/>
        </w:rPr>
        <w:t xml:space="preserve"> barriers the program is experiencing and the steps the </w:t>
      </w:r>
      <w:r w:rsidR="00874BF4" w:rsidRPr="00507873">
        <w:rPr>
          <w:b w:val="0"/>
          <w:u w:val="none"/>
        </w:rPr>
        <w:t>staff</w:t>
      </w:r>
      <w:r w:rsidR="00AB1E64" w:rsidRPr="00507873">
        <w:rPr>
          <w:b w:val="0"/>
          <w:u w:val="none"/>
        </w:rPr>
        <w:t xml:space="preserve"> is taking to </w:t>
      </w:r>
      <w:r w:rsidRPr="00507873">
        <w:rPr>
          <w:b w:val="0"/>
          <w:u w:val="none"/>
        </w:rPr>
        <w:t>mitigate</w:t>
      </w:r>
      <w:r w:rsidR="00AB1E64" w:rsidRPr="00507873">
        <w:rPr>
          <w:b w:val="0"/>
          <w:u w:val="none"/>
        </w:rPr>
        <w:t xml:space="preserve"> the </w:t>
      </w:r>
      <w:r w:rsidRPr="00507873">
        <w:rPr>
          <w:b w:val="0"/>
          <w:u w:val="none"/>
        </w:rPr>
        <w:t>situation.</w:t>
      </w:r>
    </w:p>
    <w:p w14:paraId="5DB9EA9D" w14:textId="77777777" w:rsidR="00BF7E36" w:rsidRPr="00BF7E36" w:rsidRDefault="00BF7E36"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507873">
        <w:rPr>
          <w:u w:val="none"/>
        </w:rPr>
        <w:t>Year-end:</w:t>
      </w:r>
      <w:r w:rsidRPr="00507873">
        <w:rPr>
          <w:b w:val="0"/>
          <w:u w:val="none"/>
        </w:rPr>
        <w:t xml:space="preserve"> Please provide an explanation for each output or outcome </w:t>
      </w:r>
      <w:r w:rsidR="004008FB" w:rsidRPr="00507873">
        <w:rPr>
          <w:b w:val="0"/>
          <w:u w:val="none"/>
        </w:rPr>
        <w:t>for which</w:t>
      </w:r>
      <w:r w:rsidRPr="00507873">
        <w:rPr>
          <w:b w:val="0"/>
          <w:u w:val="none"/>
        </w:rPr>
        <w:t xml:space="preserve"> achievement is above or below 10% of the projected target.</w:t>
      </w:r>
    </w:p>
    <w:p w14:paraId="406A6F03" w14:textId="49A80E31" w:rsidR="00BF7E36" w:rsidRDefault="00BF7E36" w:rsidP="000A20A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57E815C" w14:textId="736D1250" w:rsidR="00A8090B" w:rsidRPr="00CC3353" w:rsidRDefault="00D367CA" w:rsidP="000A20A5">
      <w:pPr>
        <w:jc w:val="both"/>
        <w:rPr>
          <w:rFonts w:asciiTheme="minorHAnsi" w:hAnsiTheme="minorHAnsi" w:cstheme="minorHAnsi"/>
          <w:b/>
          <w:sz w:val="22"/>
          <w:szCs w:val="22"/>
        </w:rPr>
      </w:pPr>
      <w:r w:rsidRPr="00D367CA">
        <w:rPr>
          <w:rFonts w:asciiTheme="minorHAnsi" w:hAnsiTheme="minorHAnsi" w:cstheme="minorHAnsi"/>
          <w:b/>
          <w:sz w:val="22"/>
          <w:szCs w:val="22"/>
        </w:rPr>
        <w:t>Venice Family Clinic</w:t>
      </w:r>
    </w:p>
    <w:p w14:paraId="25676F6D" w14:textId="06448CB5" w:rsidR="00A8090B" w:rsidRPr="00DE5E91" w:rsidRDefault="00A8090B" w:rsidP="00DE5E91">
      <w:pPr>
        <w:spacing w:after="120"/>
        <w:jc w:val="both"/>
        <w:rPr>
          <w:rFonts w:asciiTheme="minorHAnsi" w:hAnsiTheme="minorHAnsi" w:cstheme="minorHAnsi"/>
          <w:sz w:val="22"/>
          <w:szCs w:val="22"/>
        </w:rPr>
      </w:pPr>
      <w:r w:rsidRPr="00A8090B">
        <w:rPr>
          <w:rFonts w:asciiTheme="minorHAnsi" w:hAnsiTheme="minorHAnsi" w:cstheme="minorHAnsi"/>
          <w:i/>
          <w:sz w:val="22"/>
          <w:szCs w:val="22"/>
        </w:rPr>
        <w:t>Participant at SAMOHI receives high-quality health care services:</w:t>
      </w:r>
      <w:r>
        <w:rPr>
          <w:rFonts w:asciiTheme="minorHAnsi" w:hAnsiTheme="minorHAnsi" w:cstheme="minorHAnsi"/>
          <w:sz w:val="22"/>
          <w:szCs w:val="22"/>
        </w:rPr>
        <w:t xml:space="preserve"> </w:t>
      </w:r>
      <w:r w:rsidR="00CC3353">
        <w:rPr>
          <w:rFonts w:asciiTheme="minorHAnsi" w:hAnsiTheme="minorHAnsi" w:cstheme="minorHAnsi"/>
          <w:sz w:val="22"/>
          <w:szCs w:val="22"/>
        </w:rPr>
        <w:t>We are happy to report that we exceeded our goal</w:t>
      </w:r>
      <w:r w:rsidR="000A6CC7">
        <w:rPr>
          <w:rFonts w:asciiTheme="minorHAnsi" w:hAnsiTheme="minorHAnsi" w:cstheme="minorHAnsi"/>
          <w:sz w:val="22"/>
          <w:szCs w:val="22"/>
        </w:rPr>
        <w:t xml:space="preserve"> of 290</w:t>
      </w:r>
      <w:r w:rsidR="00CC3353">
        <w:rPr>
          <w:rFonts w:asciiTheme="minorHAnsi" w:hAnsiTheme="minorHAnsi" w:cstheme="minorHAnsi"/>
          <w:sz w:val="22"/>
          <w:szCs w:val="22"/>
        </w:rPr>
        <w:t xml:space="preserve">, and served 377 SAMOHI students. </w:t>
      </w:r>
      <w:r w:rsidR="000A6CC7">
        <w:rPr>
          <w:rFonts w:asciiTheme="minorHAnsi" w:hAnsiTheme="minorHAnsi" w:cstheme="minorHAnsi"/>
          <w:sz w:val="22"/>
          <w:szCs w:val="22"/>
        </w:rPr>
        <w:t>Our</w:t>
      </w:r>
      <w:r w:rsidR="00CC3353">
        <w:rPr>
          <w:rFonts w:asciiTheme="minorHAnsi" w:hAnsiTheme="minorHAnsi" w:cstheme="minorHAnsi"/>
          <w:sz w:val="22"/>
          <w:szCs w:val="22"/>
        </w:rPr>
        <w:t xml:space="preserve"> </w:t>
      </w:r>
      <w:r w:rsidR="00CC3353" w:rsidRPr="00CC3353">
        <w:rPr>
          <w:rFonts w:asciiTheme="minorHAnsi" w:hAnsiTheme="minorHAnsi" w:cstheme="minorHAnsi"/>
          <w:sz w:val="22"/>
          <w:szCs w:val="22"/>
        </w:rPr>
        <w:t xml:space="preserve">goal was set when there were still </w:t>
      </w:r>
      <w:r w:rsidR="00710695">
        <w:rPr>
          <w:rFonts w:asciiTheme="minorHAnsi" w:hAnsiTheme="minorHAnsi" w:cstheme="minorHAnsi"/>
          <w:sz w:val="22"/>
          <w:szCs w:val="22"/>
        </w:rPr>
        <w:t xml:space="preserve">school </w:t>
      </w:r>
      <w:r w:rsidR="00CC3353" w:rsidRPr="00CC3353">
        <w:rPr>
          <w:rFonts w:asciiTheme="minorHAnsi" w:hAnsiTheme="minorHAnsi" w:cstheme="minorHAnsi"/>
          <w:sz w:val="22"/>
          <w:szCs w:val="22"/>
        </w:rPr>
        <w:t>COVID</w:t>
      </w:r>
      <w:r w:rsidR="00CC3353">
        <w:rPr>
          <w:rFonts w:asciiTheme="minorHAnsi" w:hAnsiTheme="minorHAnsi" w:cstheme="minorHAnsi"/>
          <w:sz w:val="22"/>
          <w:szCs w:val="22"/>
        </w:rPr>
        <w:t xml:space="preserve">-19 restrictions, </w:t>
      </w:r>
      <w:r w:rsidR="00CC3353" w:rsidRPr="00CC3353">
        <w:rPr>
          <w:rFonts w:asciiTheme="minorHAnsi" w:hAnsiTheme="minorHAnsi" w:cstheme="minorHAnsi"/>
          <w:sz w:val="22"/>
          <w:szCs w:val="22"/>
        </w:rPr>
        <w:t xml:space="preserve">and more </w:t>
      </w:r>
      <w:r w:rsidR="00CC3353">
        <w:rPr>
          <w:rFonts w:asciiTheme="minorHAnsi" w:hAnsiTheme="minorHAnsi" w:cstheme="minorHAnsi"/>
          <w:sz w:val="22"/>
          <w:szCs w:val="22"/>
        </w:rPr>
        <w:t xml:space="preserve">patient </w:t>
      </w:r>
      <w:r w:rsidR="00CC3353" w:rsidRPr="00CC3353">
        <w:rPr>
          <w:rFonts w:asciiTheme="minorHAnsi" w:hAnsiTheme="minorHAnsi" w:cstheme="minorHAnsi"/>
          <w:sz w:val="22"/>
          <w:szCs w:val="22"/>
        </w:rPr>
        <w:t xml:space="preserve">fear about visiting any space where individuals may have been sick. </w:t>
      </w:r>
      <w:r w:rsidR="00CC3353">
        <w:rPr>
          <w:rFonts w:asciiTheme="minorHAnsi" w:hAnsiTheme="minorHAnsi" w:cstheme="minorHAnsi"/>
          <w:sz w:val="22"/>
          <w:szCs w:val="22"/>
        </w:rPr>
        <w:t>Today, there may be</w:t>
      </w:r>
      <w:r w:rsidR="00CC3353" w:rsidRPr="00CC3353">
        <w:rPr>
          <w:rFonts w:asciiTheme="minorHAnsi" w:hAnsiTheme="minorHAnsi" w:cstheme="minorHAnsi"/>
          <w:sz w:val="22"/>
          <w:szCs w:val="22"/>
        </w:rPr>
        <w:t xml:space="preserve"> more of a comfort level </w:t>
      </w:r>
      <w:r w:rsidR="00CC3353">
        <w:rPr>
          <w:rFonts w:asciiTheme="minorHAnsi" w:hAnsiTheme="minorHAnsi" w:cstheme="minorHAnsi"/>
          <w:sz w:val="22"/>
          <w:szCs w:val="22"/>
        </w:rPr>
        <w:t xml:space="preserve">in </w:t>
      </w:r>
      <w:r w:rsidR="00CC3353" w:rsidRPr="00CC3353">
        <w:rPr>
          <w:rFonts w:asciiTheme="minorHAnsi" w:hAnsiTheme="minorHAnsi" w:cstheme="minorHAnsi"/>
          <w:sz w:val="22"/>
          <w:szCs w:val="22"/>
        </w:rPr>
        <w:t xml:space="preserve">coming back to clinic sites. </w:t>
      </w:r>
      <w:r w:rsidR="00CC3353">
        <w:rPr>
          <w:rFonts w:asciiTheme="minorHAnsi" w:hAnsiTheme="minorHAnsi" w:cstheme="minorHAnsi"/>
          <w:sz w:val="22"/>
          <w:szCs w:val="22"/>
        </w:rPr>
        <w:t>Additionally, w</w:t>
      </w:r>
      <w:r w:rsidR="00CC3353" w:rsidRPr="00CC3353">
        <w:rPr>
          <w:rFonts w:asciiTheme="minorHAnsi" w:hAnsiTheme="minorHAnsi" w:cstheme="minorHAnsi"/>
          <w:sz w:val="22"/>
          <w:szCs w:val="22"/>
        </w:rPr>
        <w:t>e continue</w:t>
      </w:r>
      <w:r w:rsidR="00CC3353">
        <w:rPr>
          <w:rFonts w:asciiTheme="minorHAnsi" w:hAnsiTheme="minorHAnsi" w:cstheme="minorHAnsi"/>
          <w:sz w:val="22"/>
          <w:szCs w:val="22"/>
        </w:rPr>
        <w:t xml:space="preserve"> to work on increasing outreach to connect students to services at this site.</w:t>
      </w:r>
    </w:p>
    <w:p w14:paraId="25B98D1E" w14:textId="49B799A1" w:rsidR="00D367CA" w:rsidRPr="00D367CA" w:rsidRDefault="00D367CA" w:rsidP="00DE5E91">
      <w:pPr>
        <w:spacing w:after="120"/>
        <w:jc w:val="both"/>
        <w:rPr>
          <w:rFonts w:asciiTheme="minorHAnsi" w:hAnsiTheme="minorHAnsi" w:cstheme="minorHAnsi"/>
          <w:sz w:val="22"/>
          <w:szCs w:val="22"/>
        </w:rPr>
      </w:pPr>
      <w:r w:rsidRPr="00A8090B">
        <w:rPr>
          <w:rFonts w:asciiTheme="minorHAnsi" w:hAnsiTheme="minorHAnsi" w:cstheme="minorHAnsi"/>
          <w:i/>
          <w:sz w:val="22"/>
          <w:szCs w:val="22"/>
        </w:rPr>
        <w:t>Students received STD testing:</w:t>
      </w:r>
      <w:r w:rsidRPr="00D367CA">
        <w:rPr>
          <w:rFonts w:asciiTheme="minorHAnsi" w:hAnsiTheme="minorHAnsi" w:cstheme="minorHAnsi"/>
          <w:sz w:val="22"/>
          <w:szCs w:val="22"/>
        </w:rPr>
        <w:t xml:space="preserve"> Remarkably, despite the impact COVID-19 continued to have on the clinic and school system this year, we were still able to exceed our year-end goal for the percentage of students seen that received STD testing. </w:t>
      </w:r>
      <w:r w:rsidR="00CC3353">
        <w:rPr>
          <w:rFonts w:asciiTheme="minorHAnsi" w:hAnsiTheme="minorHAnsi" w:cstheme="minorHAnsi"/>
          <w:sz w:val="22"/>
          <w:szCs w:val="22"/>
        </w:rPr>
        <w:t>81</w:t>
      </w:r>
      <w:r w:rsidRPr="00D367CA">
        <w:rPr>
          <w:rFonts w:asciiTheme="minorHAnsi" w:hAnsiTheme="minorHAnsi" w:cstheme="minorHAnsi"/>
          <w:sz w:val="22"/>
          <w:szCs w:val="22"/>
        </w:rPr>
        <w:t>% received testing, surpassing our goal of 50%. This is a testament</w:t>
      </w:r>
      <w:r w:rsidR="00CC3353">
        <w:rPr>
          <w:rFonts w:asciiTheme="minorHAnsi" w:hAnsiTheme="minorHAnsi" w:cstheme="minorHAnsi"/>
          <w:sz w:val="22"/>
          <w:szCs w:val="22"/>
        </w:rPr>
        <w:t xml:space="preserve"> to the dedication of our team </w:t>
      </w:r>
      <w:r w:rsidR="0014422A">
        <w:rPr>
          <w:rFonts w:asciiTheme="minorHAnsi" w:hAnsiTheme="minorHAnsi" w:cstheme="minorHAnsi"/>
          <w:sz w:val="22"/>
          <w:szCs w:val="22"/>
        </w:rPr>
        <w:t>to</w:t>
      </w:r>
      <w:r w:rsidR="0014422A" w:rsidRPr="00D367CA">
        <w:rPr>
          <w:rFonts w:asciiTheme="minorHAnsi" w:hAnsiTheme="minorHAnsi" w:cstheme="minorHAnsi"/>
          <w:sz w:val="22"/>
          <w:szCs w:val="22"/>
        </w:rPr>
        <w:t xml:space="preserve"> </w:t>
      </w:r>
      <w:r w:rsidRPr="00D367CA">
        <w:rPr>
          <w:rFonts w:asciiTheme="minorHAnsi" w:hAnsiTheme="minorHAnsi" w:cstheme="minorHAnsi"/>
          <w:sz w:val="22"/>
          <w:szCs w:val="22"/>
        </w:rPr>
        <w:t>ensuring that access to services continued for students despite challenges faced. It also indicates that students continued to look to us as a trusted source of sexual and reproductive health care. We are hopeful this trend will continue into the new fiscal year.</w:t>
      </w:r>
    </w:p>
    <w:p w14:paraId="53B68B23" w14:textId="1D43F87E" w:rsidR="00D367CA" w:rsidRPr="00DE5E91" w:rsidRDefault="00D367CA" w:rsidP="00DE5E91">
      <w:pPr>
        <w:spacing w:after="120"/>
        <w:jc w:val="both"/>
        <w:rPr>
          <w:rFonts w:asciiTheme="minorHAnsi" w:hAnsiTheme="minorHAnsi" w:cstheme="minorHAnsi"/>
          <w:sz w:val="22"/>
          <w:szCs w:val="22"/>
        </w:rPr>
      </w:pPr>
      <w:r w:rsidRPr="00710695">
        <w:rPr>
          <w:rFonts w:asciiTheme="minorHAnsi" w:hAnsiTheme="minorHAnsi" w:cstheme="minorHAnsi"/>
          <w:i/>
          <w:sz w:val="22"/>
          <w:szCs w:val="22"/>
        </w:rPr>
        <w:t>Students adopted a method of birth control, including abstinence:</w:t>
      </w:r>
      <w:r w:rsidRPr="00710695">
        <w:rPr>
          <w:rFonts w:asciiTheme="minorHAnsi" w:hAnsiTheme="minorHAnsi" w:cstheme="minorHAnsi"/>
          <w:sz w:val="22"/>
          <w:szCs w:val="22"/>
        </w:rPr>
        <w:t xml:space="preserve"> We believe this number (</w:t>
      </w:r>
      <w:r w:rsidR="00CC3353" w:rsidRPr="00710695">
        <w:rPr>
          <w:rFonts w:asciiTheme="minorHAnsi" w:hAnsiTheme="minorHAnsi" w:cstheme="minorHAnsi"/>
          <w:sz w:val="22"/>
          <w:szCs w:val="22"/>
        </w:rPr>
        <w:t>6</w:t>
      </w:r>
      <w:r w:rsidRPr="00710695">
        <w:rPr>
          <w:rFonts w:asciiTheme="minorHAnsi" w:hAnsiTheme="minorHAnsi" w:cstheme="minorHAnsi"/>
          <w:sz w:val="22"/>
          <w:szCs w:val="22"/>
        </w:rPr>
        <w:t>3%) is low because this may be a systems/documentation issue on the part of our providers seeing teens. If the purpose of the visit is not explicitly for family planning, but rather, for example, COVID</w:t>
      </w:r>
      <w:r w:rsidR="00710695" w:rsidRPr="00710695">
        <w:rPr>
          <w:rFonts w:asciiTheme="minorHAnsi" w:hAnsiTheme="minorHAnsi" w:cstheme="minorHAnsi"/>
          <w:sz w:val="22"/>
          <w:szCs w:val="22"/>
        </w:rPr>
        <w:t>-19</w:t>
      </w:r>
      <w:r w:rsidRPr="00710695">
        <w:rPr>
          <w:rFonts w:asciiTheme="minorHAnsi" w:hAnsiTheme="minorHAnsi" w:cstheme="minorHAnsi"/>
          <w:sz w:val="22"/>
          <w:szCs w:val="22"/>
        </w:rPr>
        <w:t xml:space="preserve"> symptoms, the provider may be focused on other issues and not documenting birth control method at the end of each visit. In addition, partly due to the pandemic</w:t>
      </w:r>
      <w:r w:rsidR="00E33400">
        <w:rPr>
          <w:rFonts w:asciiTheme="minorHAnsi" w:hAnsiTheme="minorHAnsi" w:cstheme="minorHAnsi"/>
          <w:sz w:val="22"/>
          <w:szCs w:val="22"/>
        </w:rPr>
        <w:t>,</w:t>
      </w:r>
      <w:r w:rsidRPr="00710695">
        <w:rPr>
          <w:rFonts w:asciiTheme="minorHAnsi" w:hAnsiTheme="minorHAnsi" w:cstheme="minorHAnsi"/>
          <w:sz w:val="22"/>
          <w:szCs w:val="22"/>
        </w:rPr>
        <w:t xml:space="preserve"> we’ve begun following extended use practices, where instead of issuing a monthly prescription, say, we could provide a full year’s worth in one visit, negating the need for further visits. We will </w:t>
      </w:r>
      <w:r w:rsidR="00710695">
        <w:rPr>
          <w:rFonts w:asciiTheme="minorHAnsi" w:hAnsiTheme="minorHAnsi" w:cstheme="minorHAnsi"/>
          <w:sz w:val="22"/>
          <w:szCs w:val="22"/>
        </w:rPr>
        <w:t xml:space="preserve">continue to review this </w:t>
      </w:r>
      <w:r w:rsidRPr="00710695">
        <w:rPr>
          <w:rFonts w:asciiTheme="minorHAnsi" w:hAnsiTheme="minorHAnsi" w:cstheme="minorHAnsi"/>
          <w:sz w:val="22"/>
          <w:szCs w:val="22"/>
        </w:rPr>
        <w:t>data point to identify strategies for increasing documentation, and</w:t>
      </w:r>
      <w:r w:rsidR="00F839EE">
        <w:rPr>
          <w:rFonts w:asciiTheme="minorHAnsi" w:hAnsiTheme="minorHAnsi" w:cstheme="minorHAnsi"/>
          <w:sz w:val="22"/>
          <w:szCs w:val="22"/>
        </w:rPr>
        <w:t xml:space="preserve"> remind</w:t>
      </w:r>
      <w:r w:rsidRPr="00710695">
        <w:rPr>
          <w:rFonts w:asciiTheme="minorHAnsi" w:hAnsiTheme="minorHAnsi" w:cstheme="minorHAnsi"/>
          <w:sz w:val="22"/>
          <w:szCs w:val="22"/>
        </w:rPr>
        <w:t xml:space="preserve"> providers of the importance of noting it whenever they see a teenager for care.</w:t>
      </w:r>
    </w:p>
    <w:p w14:paraId="1B69F0C8" w14:textId="77777777" w:rsidR="00B21983" w:rsidRPr="00120ED0" w:rsidRDefault="00B21983" w:rsidP="000A20A5">
      <w:pPr>
        <w:jc w:val="both"/>
        <w:rPr>
          <w:rFonts w:asciiTheme="minorHAnsi" w:hAnsiTheme="minorHAnsi" w:cstheme="minorHAnsi"/>
          <w:b/>
          <w:sz w:val="22"/>
          <w:szCs w:val="22"/>
        </w:rPr>
      </w:pPr>
      <w:r w:rsidRPr="00120ED0">
        <w:rPr>
          <w:rFonts w:asciiTheme="minorHAnsi" w:hAnsiTheme="minorHAnsi" w:cstheme="minorHAnsi"/>
          <w:b/>
          <w:sz w:val="22"/>
          <w:szCs w:val="22"/>
        </w:rPr>
        <w:t>Illuminating Sol Therapy Report</w:t>
      </w:r>
    </w:p>
    <w:p w14:paraId="4718EE51" w14:textId="6D83F646" w:rsidR="006A4CFF" w:rsidRPr="00507873" w:rsidRDefault="00B21983"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B21983">
        <w:rPr>
          <w:rFonts w:asciiTheme="minorHAnsi" w:hAnsiTheme="minorHAnsi" w:cstheme="minorHAnsi"/>
          <w:sz w:val="22"/>
          <w:szCs w:val="22"/>
        </w:rPr>
        <w:t>Illuminating Sol Therapy, Inc. exclusiv</w:t>
      </w:r>
      <w:r w:rsidR="00AE6810">
        <w:rPr>
          <w:rFonts w:asciiTheme="minorHAnsi" w:hAnsiTheme="minorHAnsi" w:cstheme="minorHAnsi"/>
          <w:sz w:val="22"/>
          <w:szCs w:val="22"/>
        </w:rPr>
        <w:t xml:space="preserve">ely provided case management to </w:t>
      </w:r>
      <w:r w:rsidRPr="00B21983">
        <w:rPr>
          <w:rFonts w:asciiTheme="minorHAnsi" w:hAnsiTheme="minorHAnsi" w:cstheme="minorHAnsi"/>
          <w:sz w:val="22"/>
          <w:szCs w:val="22"/>
        </w:rPr>
        <w:t>Olympic High students during this reporting period.</w:t>
      </w:r>
      <w:r w:rsidR="000419E5">
        <w:rPr>
          <w:rFonts w:asciiTheme="minorHAnsi" w:hAnsiTheme="minorHAnsi" w:cstheme="minorHAnsi"/>
          <w:sz w:val="22"/>
          <w:szCs w:val="22"/>
        </w:rPr>
        <w:t xml:space="preserve"> </w:t>
      </w:r>
      <w:r w:rsidRPr="00B21983">
        <w:rPr>
          <w:rFonts w:asciiTheme="minorHAnsi" w:hAnsiTheme="minorHAnsi" w:cstheme="minorHAnsi"/>
          <w:sz w:val="22"/>
          <w:szCs w:val="22"/>
        </w:rPr>
        <w:t>Illuminating SOL Therapy, Inc. did not provide mental health services due to prioritizing mental health referrals to on-campus service providers. The immediate need that surfaced this reporting period was case management services; hence the data provided above.</w:t>
      </w:r>
      <w:r w:rsidR="000419E5">
        <w:rPr>
          <w:rFonts w:asciiTheme="minorHAnsi" w:hAnsiTheme="minorHAnsi" w:cstheme="minorHAnsi"/>
          <w:sz w:val="22"/>
          <w:szCs w:val="22"/>
        </w:rPr>
        <w:t xml:space="preserve"> </w:t>
      </w:r>
      <w:r w:rsidRPr="00B21983">
        <w:rPr>
          <w:rFonts w:asciiTheme="minorHAnsi" w:hAnsiTheme="minorHAnsi" w:cstheme="minorHAnsi"/>
          <w:sz w:val="22"/>
          <w:szCs w:val="22"/>
        </w:rPr>
        <w:t>Therefore, there are no YOQ outcomes provided. Only 1 home visit was provided during this reporting period at the request of the principal. Principal did not schedule additional home visits; hence why only 1 took place.</w:t>
      </w:r>
      <w:r w:rsidR="000419E5">
        <w:rPr>
          <w:rFonts w:asciiTheme="minorHAnsi" w:hAnsiTheme="minorHAnsi" w:cstheme="minorHAnsi"/>
          <w:sz w:val="22"/>
          <w:szCs w:val="22"/>
        </w:rPr>
        <w:t xml:space="preserve"> </w:t>
      </w:r>
      <w:r w:rsidRPr="00B21983">
        <w:rPr>
          <w:rFonts w:asciiTheme="minorHAnsi" w:hAnsiTheme="minorHAnsi" w:cstheme="minorHAnsi"/>
          <w:sz w:val="22"/>
          <w:szCs w:val="22"/>
        </w:rPr>
        <w:t xml:space="preserve"> </w:t>
      </w:r>
    </w:p>
    <w:p w14:paraId="227B7ADF" w14:textId="77777777" w:rsidR="006A4CFF" w:rsidRDefault="006A4CFF"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0A20A5">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8C6D80D" w14:textId="28887C0C" w:rsidR="006A4CFF" w:rsidRPr="00507873" w:rsidRDefault="00F6340F" w:rsidP="000A20A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507873">
        <w:rPr>
          <w:rFonts w:asciiTheme="minorHAnsi" w:hAnsiTheme="minorHAnsi" w:cstheme="minorHAnsi"/>
          <w:sz w:val="22"/>
          <w:szCs w:val="22"/>
        </w:rPr>
        <w:t>N</w:t>
      </w:r>
      <w:r w:rsidR="00507873" w:rsidRPr="00507873">
        <w:rPr>
          <w:rFonts w:asciiTheme="minorHAnsi" w:hAnsiTheme="minorHAnsi" w:cstheme="minorHAnsi"/>
          <w:sz w:val="22"/>
          <w:szCs w:val="22"/>
        </w:rPr>
        <w:t>ot applicable</w:t>
      </w:r>
    </w:p>
    <w:p w14:paraId="1D67F112" w14:textId="7E93BCF1" w:rsidR="003C3283" w:rsidRPr="00BE6920" w:rsidRDefault="007D3B4E" w:rsidP="00BE6920">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sectPr w:rsidR="003C3283" w:rsidRPr="00BE6920" w:rsidSect="00F33893">
      <w:headerReference w:type="even" r:id="rId18"/>
      <w:headerReference w:type="default" r:id="rId19"/>
      <w:footerReference w:type="default" r:id="rId20"/>
      <w:headerReference w:type="first" r:id="rId21"/>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D7BB" w14:textId="77777777" w:rsidR="00113620" w:rsidRDefault="00113620">
      <w:r>
        <w:separator/>
      </w:r>
    </w:p>
  </w:endnote>
  <w:endnote w:type="continuationSeparator" w:id="0">
    <w:p w14:paraId="6249C6C0" w14:textId="77777777" w:rsidR="00113620" w:rsidRDefault="0011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113620" w:rsidRPr="00F97AAC" w:rsidRDefault="00113620"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1FCC61F7" w14:textId="35E2AEF8" w:rsidR="00113620" w:rsidRPr="00F97AAC" w:rsidRDefault="00113620"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137FF8">
      <w:rPr>
        <w:rFonts w:ascii="Arial" w:hAnsi="Arial" w:cs="Arial"/>
        <w:b/>
        <w:noProof/>
        <w:color w:val="FFFFFF"/>
        <w:sz w:val="24"/>
      </w:rPr>
      <w:t>9</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46275DC2" w:rsidR="00113620" w:rsidRPr="00F97AAC" w:rsidRDefault="00113620"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B01AF9">
      <w:rPr>
        <w:rFonts w:ascii="Arial" w:hAnsi="Arial" w:cs="Arial"/>
        <w:b/>
        <w:color w:val="FFFFFF"/>
        <w:sz w:val="24"/>
      </w:rPr>
      <w:t>22</w:t>
    </w:r>
    <w:r>
      <w:rPr>
        <w:rFonts w:ascii="Arial" w:hAnsi="Arial" w:cs="Arial"/>
        <w:b/>
        <w:color w:val="FFFFFF"/>
        <w:sz w:val="24"/>
      </w:rPr>
      <w:t>-</w:t>
    </w:r>
    <w:r w:rsidR="00B01AF9">
      <w:rPr>
        <w:rFonts w:ascii="Arial" w:hAnsi="Arial" w:cs="Arial"/>
        <w:b/>
        <w:color w:val="FFFFFF"/>
        <w:sz w:val="24"/>
      </w:rPr>
      <w:t>23</w:t>
    </w:r>
    <w:r w:rsidRPr="00F97AAC">
      <w:rPr>
        <w:rFonts w:ascii="Arial" w:hAnsi="Arial" w:cs="Arial"/>
        <w:b/>
        <w:color w:val="FFFFFF"/>
        <w:sz w:val="24"/>
      </w:rPr>
      <w:t xml:space="preserve"> Human Services Grants Program</w:t>
    </w:r>
  </w:p>
  <w:p w14:paraId="31AEDC43" w14:textId="77777777" w:rsidR="00113620" w:rsidRPr="00F97AAC" w:rsidRDefault="00113620" w:rsidP="00385BB6">
    <w:pPr>
      <w:shd w:val="solid" w:color="000000" w:fill="FFFFFF"/>
      <w:ind w:left="360" w:right="360"/>
      <w:jc w:val="center"/>
      <w:rPr>
        <w:rFonts w:ascii="Arial" w:hAnsi="Arial" w:cs="Arial"/>
        <w:b/>
        <w:color w:val="FFFFFF"/>
        <w:sz w:val="24"/>
      </w:rPr>
    </w:pPr>
  </w:p>
  <w:p w14:paraId="1C44CAC9" w14:textId="77777777" w:rsidR="00113620" w:rsidRPr="00385BB6" w:rsidRDefault="00113620"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EA9D" w14:textId="77777777" w:rsidR="00113620" w:rsidRDefault="00113620">
      <w:r>
        <w:separator/>
      </w:r>
    </w:p>
  </w:footnote>
  <w:footnote w:type="continuationSeparator" w:id="0">
    <w:p w14:paraId="34B5026D" w14:textId="77777777" w:rsidR="00113620" w:rsidRDefault="0011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113620" w:rsidRDefault="0011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113620" w:rsidRDefault="00113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113620" w:rsidRDefault="00113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113620" w:rsidRDefault="0011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113620" w:rsidRDefault="0011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113620" w:rsidRDefault="0011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8E02254"/>
    <w:multiLevelType w:val="hybridMultilevel"/>
    <w:tmpl w:val="4752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F693BFF"/>
    <w:multiLevelType w:val="hybridMultilevel"/>
    <w:tmpl w:val="E63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8"/>
  </w:num>
  <w:num w:numId="3">
    <w:abstractNumId w:val="9"/>
  </w:num>
  <w:num w:numId="4">
    <w:abstractNumId w:val="10"/>
  </w:num>
  <w:num w:numId="5">
    <w:abstractNumId w:val="4"/>
  </w:num>
  <w:num w:numId="6">
    <w:abstractNumId w:val="7"/>
  </w:num>
  <w:num w:numId="7">
    <w:abstractNumId w:val="5"/>
  </w:num>
  <w:num w:numId="8">
    <w:abstractNumId w:val="6"/>
  </w:num>
  <w:num w:numId="9">
    <w:abstractNumId w:val="0"/>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3lKGCHYZG/j17DFmlU3VpC8EQOIQURLXMJ+hZ1v0xuMtiVY+TAUR4v4qX53Pd/EEuy9697VbjPZZrdF7fuy3A==" w:salt="5ihRAEGjtGGtBlsKPFuD6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NzU0NzIxMjA3MjZX0lEKTi0uzszPAykwNKkFAOwpwwYtAAAA"/>
  </w:docVars>
  <w:rsids>
    <w:rsidRoot w:val="005C303F"/>
    <w:rsid w:val="00010A02"/>
    <w:rsid w:val="000233F8"/>
    <w:rsid w:val="000419E5"/>
    <w:rsid w:val="000427D8"/>
    <w:rsid w:val="00057D82"/>
    <w:rsid w:val="000649AB"/>
    <w:rsid w:val="0006686C"/>
    <w:rsid w:val="00072FEE"/>
    <w:rsid w:val="00073932"/>
    <w:rsid w:val="00074739"/>
    <w:rsid w:val="00084501"/>
    <w:rsid w:val="00096E95"/>
    <w:rsid w:val="000A0D90"/>
    <w:rsid w:val="000A0DD0"/>
    <w:rsid w:val="000A20A5"/>
    <w:rsid w:val="000A6CC7"/>
    <w:rsid w:val="000D00C6"/>
    <w:rsid w:val="000D0462"/>
    <w:rsid w:val="000D6203"/>
    <w:rsid w:val="000F252F"/>
    <w:rsid w:val="001003A7"/>
    <w:rsid w:val="00112FB5"/>
    <w:rsid w:val="00113620"/>
    <w:rsid w:val="00116F52"/>
    <w:rsid w:val="0011786F"/>
    <w:rsid w:val="00120ED0"/>
    <w:rsid w:val="0013072C"/>
    <w:rsid w:val="00133209"/>
    <w:rsid w:val="001375C7"/>
    <w:rsid w:val="00137FF8"/>
    <w:rsid w:val="001403EB"/>
    <w:rsid w:val="0014422A"/>
    <w:rsid w:val="00147ACE"/>
    <w:rsid w:val="00150071"/>
    <w:rsid w:val="00154DE6"/>
    <w:rsid w:val="0015736F"/>
    <w:rsid w:val="00162B1C"/>
    <w:rsid w:val="00184580"/>
    <w:rsid w:val="00185EA1"/>
    <w:rsid w:val="00196ED6"/>
    <w:rsid w:val="001A2CEE"/>
    <w:rsid w:val="001A585B"/>
    <w:rsid w:val="001C53E1"/>
    <w:rsid w:val="001D51B9"/>
    <w:rsid w:val="001D6D0C"/>
    <w:rsid w:val="001E2D62"/>
    <w:rsid w:val="001F5ABD"/>
    <w:rsid w:val="001F7B08"/>
    <w:rsid w:val="00202CC6"/>
    <w:rsid w:val="00207187"/>
    <w:rsid w:val="00214DE8"/>
    <w:rsid w:val="00220DB9"/>
    <w:rsid w:val="00223BCA"/>
    <w:rsid w:val="002257DA"/>
    <w:rsid w:val="00232788"/>
    <w:rsid w:val="00236FAC"/>
    <w:rsid w:val="00240F54"/>
    <w:rsid w:val="002422C1"/>
    <w:rsid w:val="00273CEB"/>
    <w:rsid w:val="00274947"/>
    <w:rsid w:val="00281F80"/>
    <w:rsid w:val="002827C8"/>
    <w:rsid w:val="00284B8E"/>
    <w:rsid w:val="002A2A24"/>
    <w:rsid w:val="002A6257"/>
    <w:rsid w:val="002B382B"/>
    <w:rsid w:val="002B697F"/>
    <w:rsid w:val="002C2AF7"/>
    <w:rsid w:val="002D19DE"/>
    <w:rsid w:val="002D253A"/>
    <w:rsid w:val="002D29CC"/>
    <w:rsid w:val="002D50B8"/>
    <w:rsid w:val="002D679C"/>
    <w:rsid w:val="00301CD9"/>
    <w:rsid w:val="0033358C"/>
    <w:rsid w:val="0033463C"/>
    <w:rsid w:val="00343095"/>
    <w:rsid w:val="00345380"/>
    <w:rsid w:val="003503D4"/>
    <w:rsid w:val="00356A1C"/>
    <w:rsid w:val="00360132"/>
    <w:rsid w:val="0038119B"/>
    <w:rsid w:val="00384FFC"/>
    <w:rsid w:val="0038584A"/>
    <w:rsid w:val="00385BB6"/>
    <w:rsid w:val="00387FBA"/>
    <w:rsid w:val="00394281"/>
    <w:rsid w:val="003C21BA"/>
    <w:rsid w:val="003C3283"/>
    <w:rsid w:val="003D265E"/>
    <w:rsid w:val="003F77ED"/>
    <w:rsid w:val="004005B1"/>
    <w:rsid w:val="004008FB"/>
    <w:rsid w:val="00407667"/>
    <w:rsid w:val="0041114C"/>
    <w:rsid w:val="004112F0"/>
    <w:rsid w:val="00413E09"/>
    <w:rsid w:val="00440C0E"/>
    <w:rsid w:val="004536FC"/>
    <w:rsid w:val="00461D4F"/>
    <w:rsid w:val="00467E2B"/>
    <w:rsid w:val="00470182"/>
    <w:rsid w:val="00474E58"/>
    <w:rsid w:val="00475316"/>
    <w:rsid w:val="0047716F"/>
    <w:rsid w:val="00480C95"/>
    <w:rsid w:val="004812B8"/>
    <w:rsid w:val="004815F9"/>
    <w:rsid w:val="004848D4"/>
    <w:rsid w:val="00495B97"/>
    <w:rsid w:val="004974FD"/>
    <w:rsid w:val="004A520F"/>
    <w:rsid w:val="004B0B88"/>
    <w:rsid w:val="004B1D5A"/>
    <w:rsid w:val="004B2A13"/>
    <w:rsid w:val="004B5247"/>
    <w:rsid w:val="004C0103"/>
    <w:rsid w:val="004C160C"/>
    <w:rsid w:val="004C7792"/>
    <w:rsid w:val="004D33AB"/>
    <w:rsid w:val="004D545D"/>
    <w:rsid w:val="004F08F9"/>
    <w:rsid w:val="004F6026"/>
    <w:rsid w:val="00503BD7"/>
    <w:rsid w:val="005073AF"/>
    <w:rsid w:val="00507873"/>
    <w:rsid w:val="0051201C"/>
    <w:rsid w:val="005218DF"/>
    <w:rsid w:val="00523BF3"/>
    <w:rsid w:val="00526F18"/>
    <w:rsid w:val="00531844"/>
    <w:rsid w:val="005555E0"/>
    <w:rsid w:val="00561EC8"/>
    <w:rsid w:val="005625C3"/>
    <w:rsid w:val="00566E1D"/>
    <w:rsid w:val="005713E2"/>
    <w:rsid w:val="00573256"/>
    <w:rsid w:val="005A7B83"/>
    <w:rsid w:val="005B6277"/>
    <w:rsid w:val="005C303F"/>
    <w:rsid w:val="005C384E"/>
    <w:rsid w:val="005C398E"/>
    <w:rsid w:val="005C3BEA"/>
    <w:rsid w:val="005D236A"/>
    <w:rsid w:val="005E68CF"/>
    <w:rsid w:val="005F0249"/>
    <w:rsid w:val="005F4D91"/>
    <w:rsid w:val="00601825"/>
    <w:rsid w:val="00602155"/>
    <w:rsid w:val="006113D2"/>
    <w:rsid w:val="00617B80"/>
    <w:rsid w:val="006215D2"/>
    <w:rsid w:val="006221AE"/>
    <w:rsid w:val="006237ED"/>
    <w:rsid w:val="0062632F"/>
    <w:rsid w:val="0063393A"/>
    <w:rsid w:val="00665614"/>
    <w:rsid w:val="00667EA8"/>
    <w:rsid w:val="00682652"/>
    <w:rsid w:val="00682886"/>
    <w:rsid w:val="00683C34"/>
    <w:rsid w:val="0068461E"/>
    <w:rsid w:val="006904A6"/>
    <w:rsid w:val="006906CB"/>
    <w:rsid w:val="00691214"/>
    <w:rsid w:val="006914D6"/>
    <w:rsid w:val="00693CE0"/>
    <w:rsid w:val="00694D7F"/>
    <w:rsid w:val="00695545"/>
    <w:rsid w:val="00696AFE"/>
    <w:rsid w:val="006A30B4"/>
    <w:rsid w:val="006A4CFF"/>
    <w:rsid w:val="006B33CC"/>
    <w:rsid w:val="006B7F30"/>
    <w:rsid w:val="006C151B"/>
    <w:rsid w:val="006C75F8"/>
    <w:rsid w:val="006E6CB8"/>
    <w:rsid w:val="006E7836"/>
    <w:rsid w:val="006F3506"/>
    <w:rsid w:val="006F4097"/>
    <w:rsid w:val="00702468"/>
    <w:rsid w:val="00706F5B"/>
    <w:rsid w:val="00710695"/>
    <w:rsid w:val="00716911"/>
    <w:rsid w:val="00716D3E"/>
    <w:rsid w:val="007243F3"/>
    <w:rsid w:val="00724953"/>
    <w:rsid w:val="007256EB"/>
    <w:rsid w:val="00730113"/>
    <w:rsid w:val="00733486"/>
    <w:rsid w:val="00745CBD"/>
    <w:rsid w:val="00751762"/>
    <w:rsid w:val="00764538"/>
    <w:rsid w:val="00771C80"/>
    <w:rsid w:val="00773E89"/>
    <w:rsid w:val="0077729D"/>
    <w:rsid w:val="00787298"/>
    <w:rsid w:val="007947AD"/>
    <w:rsid w:val="00797370"/>
    <w:rsid w:val="007B0EAD"/>
    <w:rsid w:val="007C0726"/>
    <w:rsid w:val="007D3B4E"/>
    <w:rsid w:val="007D7907"/>
    <w:rsid w:val="007E2F35"/>
    <w:rsid w:val="007E6E65"/>
    <w:rsid w:val="007E73C3"/>
    <w:rsid w:val="007E73F4"/>
    <w:rsid w:val="007F7596"/>
    <w:rsid w:val="00800215"/>
    <w:rsid w:val="008013DA"/>
    <w:rsid w:val="00813A82"/>
    <w:rsid w:val="00827EF8"/>
    <w:rsid w:val="00837838"/>
    <w:rsid w:val="00837E7E"/>
    <w:rsid w:val="0084269F"/>
    <w:rsid w:val="00842F67"/>
    <w:rsid w:val="00843D48"/>
    <w:rsid w:val="00855B5F"/>
    <w:rsid w:val="0086217B"/>
    <w:rsid w:val="008656CE"/>
    <w:rsid w:val="00874BF4"/>
    <w:rsid w:val="0088465B"/>
    <w:rsid w:val="008864F2"/>
    <w:rsid w:val="00886E5A"/>
    <w:rsid w:val="0089353F"/>
    <w:rsid w:val="008A01EE"/>
    <w:rsid w:val="008A3694"/>
    <w:rsid w:val="008B1337"/>
    <w:rsid w:val="008B71F0"/>
    <w:rsid w:val="008C30F0"/>
    <w:rsid w:val="008D7287"/>
    <w:rsid w:val="008E3960"/>
    <w:rsid w:val="008E4487"/>
    <w:rsid w:val="008E54B0"/>
    <w:rsid w:val="008F67FE"/>
    <w:rsid w:val="008F727E"/>
    <w:rsid w:val="0090115A"/>
    <w:rsid w:val="00906E7E"/>
    <w:rsid w:val="00910CED"/>
    <w:rsid w:val="0091118C"/>
    <w:rsid w:val="0091377E"/>
    <w:rsid w:val="00913CC6"/>
    <w:rsid w:val="00916740"/>
    <w:rsid w:val="00925583"/>
    <w:rsid w:val="0094026D"/>
    <w:rsid w:val="0095241B"/>
    <w:rsid w:val="0096458E"/>
    <w:rsid w:val="00965C3B"/>
    <w:rsid w:val="00971A32"/>
    <w:rsid w:val="00973888"/>
    <w:rsid w:val="00977FF0"/>
    <w:rsid w:val="00984220"/>
    <w:rsid w:val="009905D6"/>
    <w:rsid w:val="009A01AA"/>
    <w:rsid w:val="009A6AFC"/>
    <w:rsid w:val="009A74D7"/>
    <w:rsid w:val="009C5560"/>
    <w:rsid w:val="009D44AF"/>
    <w:rsid w:val="009D7F05"/>
    <w:rsid w:val="009E25A3"/>
    <w:rsid w:val="009E4005"/>
    <w:rsid w:val="00A02D1F"/>
    <w:rsid w:val="00A06050"/>
    <w:rsid w:val="00A15FDD"/>
    <w:rsid w:val="00A26A14"/>
    <w:rsid w:val="00A30D21"/>
    <w:rsid w:val="00A3154A"/>
    <w:rsid w:val="00A36EB0"/>
    <w:rsid w:val="00A46292"/>
    <w:rsid w:val="00A47B45"/>
    <w:rsid w:val="00A51DDF"/>
    <w:rsid w:val="00A56F56"/>
    <w:rsid w:val="00A572B1"/>
    <w:rsid w:val="00A65FD8"/>
    <w:rsid w:val="00A75424"/>
    <w:rsid w:val="00A8090B"/>
    <w:rsid w:val="00A81150"/>
    <w:rsid w:val="00A827D6"/>
    <w:rsid w:val="00A82F9E"/>
    <w:rsid w:val="00A87FD6"/>
    <w:rsid w:val="00AB1E64"/>
    <w:rsid w:val="00AC15AF"/>
    <w:rsid w:val="00AC1F84"/>
    <w:rsid w:val="00AC24E9"/>
    <w:rsid w:val="00AC5951"/>
    <w:rsid w:val="00AD79D4"/>
    <w:rsid w:val="00AE6810"/>
    <w:rsid w:val="00AF0EA2"/>
    <w:rsid w:val="00B01AF9"/>
    <w:rsid w:val="00B03A95"/>
    <w:rsid w:val="00B10B84"/>
    <w:rsid w:val="00B21983"/>
    <w:rsid w:val="00B23FF2"/>
    <w:rsid w:val="00B3208B"/>
    <w:rsid w:val="00B405F5"/>
    <w:rsid w:val="00B40EA6"/>
    <w:rsid w:val="00B46717"/>
    <w:rsid w:val="00B50857"/>
    <w:rsid w:val="00B623C6"/>
    <w:rsid w:val="00B63CFC"/>
    <w:rsid w:val="00B64078"/>
    <w:rsid w:val="00B66994"/>
    <w:rsid w:val="00B754AF"/>
    <w:rsid w:val="00B826E1"/>
    <w:rsid w:val="00BA092F"/>
    <w:rsid w:val="00BA5C51"/>
    <w:rsid w:val="00BB0253"/>
    <w:rsid w:val="00BB3E85"/>
    <w:rsid w:val="00BB4E27"/>
    <w:rsid w:val="00BC2916"/>
    <w:rsid w:val="00BC2B08"/>
    <w:rsid w:val="00BC5CA7"/>
    <w:rsid w:val="00BE6920"/>
    <w:rsid w:val="00BF7B7E"/>
    <w:rsid w:val="00BF7E36"/>
    <w:rsid w:val="00C1206A"/>
    <w:rsid w:val="00C15A48"/>
    <w:rsid w:val="00C201E7"/>
    <w:rsid w:val="00C45BF8"/>
    <w:rsid w:val="00C53543"/>
    <w:rsid w:val="00C619C2"/>
    <w:rsid w:val="00C6470A"/>
    <w:rsid w:val="00C65D55"/>
    <w:rsid w:val="00C70238"/>
    <w:rsid w:val="00C7112E"/>
    <w:rsid w:val="00C71290"/>
    <w:rsid w:val="00C7250D"/>
    <w:rsid w:val="00C74BB2"/>
    <w:rsid w:val="00C8173D"/>
    <w:rsid w:val="00C8409E"/>
    <w:rsid w:val="00CB038B"/>
    <w:rsid w:val="00CB3DAF"/>
    <w:rsid w:val="00CC3353"/>
    <w:rsid w:val="00CD29B4"/>
    <w:rsid w:val="00CE5FE8"/>
    <w:rsid w:val="00D008FE"/>
    <w:rsid w:val="00D04009"/>
    <w:rsid w:val="00D04539"/>
    <w:rsid w:val="00D15AC6"/>
    <w:rsid w:val="00D1656D"/>
    <w:rsid w:val="00D16B4C"/>
    <w:rsid w:val="00D25DB7"/>
    <w:rsid w:val="00D27C92"/>
    <w:rsid w:val="00D34B6B"/>
    <w:rsid w:val="00D354A9"/>
    <w:rsid w:val="00D367CA"/>
    <w:rsid w:val="00D4152E"/>
    <w:rsid w:val="00D41D04"/>
    <w:rsid w:val="00D45014"/>
    <w:rsid w:val="00D50D8F"/>
    <w:rsid w:val="00D60405"/>
    <w:rsid w:val="00D65E16"/>
    <w:rsid w:val="00D70008"/>
    <w:rsid w:val="00D84680"/>
    <w:rsid w:val="00D856BF"/>
    <w:rsid w:val="00D9076C"/>
    <w:rsid w:val="00D9693C"/>
    <w:rsid w:val="00DA334B"/>
    <w:rsid w:val="00DA7553"/>
    <w:rsid w:val="00DC50FE"/>
    <w:rsid w:val="00DC6F2A"/>
    <w:rsid w:val="00DC7F05"/>
    <w:rsid w:val="00DE230B"/>
    <w:rsid w:val="00DE3ECD"/>
    <w:rsid w:val="00DE5E91"/>
    <w:rsid w:val="00DF0295"/>
    <w:rsid w:val="00DF193E"/>
    <w:rsid w:val="00DF3B2C"/>
    <w:rsid w:val="00E10B51"/>
    <w:rsid w:val="00E26D0F"/>
    <w:rsid w:val="00E332A6"/>
    <w:rsid w:val="00E33400"/>
    <w:rsid w:val="00E40A58"/>
    <w:rsid w:val="00E804C4"/>
    <w:rsid w:val="00E85348"/>
    <w:rsid w:val="00EA19F1"/>
    <w:rsid w:val="00EA1BAE"/>
    <w:rsid w:val="00EA4A27"/>
    <w:rsid w:val="00EB434E"/>
    <w:rsid w:val="00EC0737"/>
    <w:rsid w:val="00EE4BA8"/>
    <w:rsid w:val="00F05ECC"/>
    <w:rsid w:val="00F06431"/>
    <w:rsid w:val="00F10DDB"/>
    <w:rsid w:val="00F117A0"/>
    <w:rsid w:val="00F176C2"/>
    <w:rsid w:val="00F22C7D"/>
    <w:rsid w:val="00F23638"/>
    <w:rsid w:val="00F245DA"/>
    <w:rsid w:val="00F33893"/>
    <w:rsid w:val="00F36446"/>
    <w:rsid w:val="00F430E0"/>
    <w:rsid w:val="00F437FC"/>
    <w:rsid w:val="00F45014"/>
    <w:rsid w:val="00F46A6A"/>
    <w:rsid w:val="00F5624D"/>
    <w:rsid w:val="00F63043"/>
    <w:rsid w:val="00F6340F"/>
    <w:rsid w:val="00F65407"/>
    <w:rsid w:val="00F671F9"/>
    <w:rsid w:val="00F67C4C"/>
    <w:rsid w:val="00F75E8B"/>
    <w:rsid w:val="00F830B1"/>
    <w:rsid w:val="00F839EE"/>
    <w:rsid w:val="00F851D6"/>
    <w:rsid w:val="00F91277"/>
    <w:rsid w:val="00F954CB"/>
    <w:rsid w:val="00F97372"/>
    <w:rsid w:val="00F97AAC"/>
    <w:rsid w:val="00FA3B38"/>
    <w:rsid w:val="00FB4403"/>
    <w:rsid w:val="00FB50E7"/>
    <w:rsid w:val="00FB6058"/>
    <w:rsid w:val="00FB774B"/>
    <w:rsid w:val="00FB7B3D"/>
    <w:rsid w:val="00FC1ED0"/>
    <w:rsid w:val="00FC6CA1"/>
    <w:rsid w:val="00FC6CBD"/>
    <w:rsid w:val="00FC778E"/>
    <w:rsid w:val="00FD11B9"/>
    <w:rsid w:val="00FD1717"/>
    <w:rsid w:val="00FD274C"/>
    <w:rsid w:val="00FD628A"/>
    <w:rsid w:val="00FD7085"/>
    <w:rsid w:val="00FD7F51"/>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14:docId w14:val="09C39191"/>
  <w15:chartTrackingRefBased/>
  <w15:docId w15:val="{9CF2938A-08DE-43B6-902D-92F6A224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link w:val="Heading6Char"/>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6Char">
    <w:name w:val="Heading 6 Char"/>
    <w:basedOn w:val="DefaultParagraphFont"/>
    <w:link w:val="Heading6"/>
    <w:rsid w:val="00D16B4C"/>
    <w:rPr>
      <w:rFonts w:ascii="Arial" w:eastAsia="Arial Unicode MS" w:hAnsi="Arial"/>
      <w:b/>
      <w:sz w:val="21"/>
      <w:szCs w:val="24"/>
      <w:u w:val="single"/>
    </w:rPr>
  </w:style>
  <w:style w:type="character" w:customStyle="1" w:styleId="BodyTextChar">
    <w:name w:val="Body Text Char"/>
    <w:basedOn w:val="DefaultParagraphFont"/>
    <w:link w:val="BodyText"/>
    <w:rsid w:val="00D16B4C"/>
    <w:rPr>
      <w:rFonts w:ascii="Arial" w:eastAsia="Arial Unicode MS" w:hAnsi="Arial"/>
      <w:i/>
      <w:iCs/>
      <w:sz w:val="22"/>
      <w:szCs w:val="24"/>
    </w:rPr>
  </w:style>
  <w:style w:type="paragraph" w:customStyle="1" w:styleId="xmsonormal">
    <w:name w:val="x_msonormal"/>
    <w:basedOn w:val="Normal"/>
    <w:uiPriority w:val="99"/>
    <w:rsid w:val="00BB0253"/>
    <w:pPr>
      <w:widowControl/>
      <w:autoSpaceDE/>
      <w:autoSpaceDN/>
      <w:adjustRightInd/>
    </w:pPr>
    <w:rPr>
      <w:rFonts w:ascii="Calibri" w:eastAsiaTheme="minorHAnsi" w:hAnsi="Calibri" w:cs="Calibri"/>
      <w:sz w:val="22"/>
      <w:szCs w:val="22"/>
    </w:rPr>
  </w:style>
  <w:style w:type="paragraph" w:customStyle="1" w:styleId="xmsolistparagraph">
    <w:name w:val="x_msolistparagraph"/>
    <w:basedOn w:val="Normal"/>
    <w:uiPriority w:val="99"/>
    <w:rsid w:val="00BB0253"/>
    <w:pPr>
      <w:widowControl/>
      <w:adjustRightInd/>
      <w:ind w:left="720"/>
    </w:pPr>
    <w:rPr>
      <w:rFonts w:eastAsiaTheme="minorHAnsi" w:hAnsi="Arial Unicode MS"/>
      <w:szCs w:val="20"/>
    </w:rPr>
  </w:style>
  <w:style w:type="paragraph" w:styleId="ListParagraph">
    <w:name w:val="List Paragraph"/>
    <w:basedOn w:val="Normal"/>
    <w:uiPriority w:val="34"/>
    <w:qFormat/>
    <w:rsid w:val="00566E1D"/>
    <w:pPr>
      <w:widowControl/>
      <w:autoSpaceDE/>
      <w:autoSpaceDN/>
      <w:adjustRightInd/>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37682060">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12175693">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497070139">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48779060">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9D268D-1011-4E87-B16D-4583CFC1FB4E}">
  <ds:schemaRefs>
    <ds:schemaRef ds:uri="http://schemas.openxmlformats.org/officeDocument/2006/bibliography"/>
  </ds:schemaRefs>
</ds:datastoreItem>
</file>

<file path=customXml/itemProps2.xml><?xml version="1.0" encoding="utf-8"?>
<ds:datastoreItem xmlns:ds="http://schemas.openxmlformats.org/officeDocument/2006/customXml" ds:itemID="{D82FAE0F-E4D1-4A50-B28D-AE447BDF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12E83-9653-4065-9A53-5168883DE2BF}">
  <ds:schemaRefs>
    <ds:schemaRef ds:uri="http://schemas.microsoft.com/office/2006/documentManagement/types"/>
    <ds:schemaRef ds:uri="http://purl.org/dc/dcmitype/"/>
    <ds:schemaRef ds:uri="http://purl.org/dc/terms/"/>
    <ds:schemaRef ds:uri="http://schemas.openxmlformats.org/package/2006/metadata/core-properties"/>
    <ds:schemaRef ds:uri="b65fe88f-9120-4dd2-a3a2-5b196d645d54"/>
    <ds:schemaRef ds:uri="http://purl.org/dc/elements/1.1/"/>
    <ds:schemaRef ds:uri="http://schemas.microsoft.com/office/infopath/2007/PartnerControls"/>
    <ds:schemaRef ds:uri="http://www.w3.org/XML/1998/namespace"/>
    <ds:schemaRef ds:uri="daf46ea9-1fb0-4df5-b00f-12140a5586ec"/>
    <ds:schemaRef ds:uri="http://schemas.microsoft.com/office/2006/metadata/properties"/>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4640</Words>
  <Characters>26453</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cp:revision>
  <cp:lastPrinted>2015-09-17T16:45:00Z</cp:lastPrinted>
  <dcterms:created xsi:type="dcterms:W3CDTF">2023-07-27T16:13:00Z</dcterms:created>
  <dcterms:modified xsi:type="dcterms:W3CDTF">2023-12-11T21:32:00Z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GrammarlyDocumentId">
    <vt:lpwstr>f73263b2b1a2f4dae36570794bb740909846cec4b54f21e41f24a52555c74987</vt:lpwstr>
  </property>
  <property fmtid="{D5CDD505-2E9C-101B-9397-08002B2CF9AE}" pid="7" name="MediaServiceImageTags">
    <vt:lpwstr/>
  </property>
</Properties>
</file>